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FD4E3" w14:textId="4849CE73" w:rsidR="00AC0893" w:rsidRPr="002B208F" w:rsidRDefault="00AC0893" w:rsidP="00AC0893">
      <w:pPr>
        <w:tabs>
          <w:tab w:val="left" w:pos="1985"/>
          <w:tab w:val="left" w:pos="8640"/>
        </w:tabs>
        <w:spacing w:after="0"/>
        <w:jc w:val="both"/>
        <w:rPr>
          <w:rFonts w:ascii="Arial" w:eastAsia="Batang" w:hAnsi="Arial" w:cs="Arial"/>
          <w:b/>
          <w:sz w:val="24"/>
          <w:szCs w:val="24"/>
          <w:lang w:val="de-DE"/>
        </w:rPr>
      </w:pPr>
      <w:r w:rsidRPr="002B208F">
        <w:rPr>
          <w:rFonts w:ascii="Arial" w:eastAsia="Batang" w:hAnsi="Arial" w:cs="Arial"/>
          <w:b/>
          <w:sz w:val="24"/>
          <w:szCs w:val="24"/>
          <w:lang w:val="de-DE"/>
        </w:rPr>
        <w:t xml:space="preserve">3GPP TSG RAN WG1 </w:t>
      </w:r>
      <w:r>
        <w:rPr>
          <w:rFonts w:ascii="Arial" w:eastAsia="Batang" w:hAnsi="Arial" w:cs="Arial"/>
          <w:b/>
          <w:sz w:val="24"/>
          <w:szCs w:val="24"/>
          <w:lang w:val="de-DE"/>
        </w:rPr>
        <w:t xml:space="preserve">Meeting </w:t>
      </w:r>
      <w:r w:rsidRPr="002B208F">
        <w:rPr>
          <w:rFonts w:ascii="Arial" w:eastAsia="Batang" w:hAnsi="Arial" w:cs="Arial"/>
          <w:b/>
          <w:sz w:val="24"/>
          <w:szCs w:val="24"/>
          <w:lang w:val="de-DE"/>
        </w:rPr>
        <w:t>#10</w:t>
      </w:r>
      <w:r w:rsidR="004E782C">
        <w:rPr>
          <w:rFonts w:ascii="Arial" w:eastAsia="Batang" w:hAnsi="Arial" w:cs="Arial"/>
          <w:b/>
          <w:sz w:val="24"/>
          <w:szCs w:val="24"/>
          <w:lang w:val="de-DE"/>
        </w:rPr>
        <w:t>4</w:t>
      </w:r>
      <w:r>
        <w:rPr>
          <w:rFonts w:ascii="Arial" w:eastAsia="Batang" w:hAnsi="Arial" w:cs="Arial"/>
          <w:b/>
          <w:sz w:val="24"/>
          <w:szCs w:val="24"/>
          <w:lang w:val="de-DE"/>
        </w:rPr>
        <w:t>-e</w:t>
      </w:r>
      <w:r>
        <w:rPr>
          <w:rFonts w:ascii="Arial" w:eastAsia="Batang" w:hAnsi="Arial" w:cs="Arial"/>
          <w:b/>
          <w:sz w:val="24"/>
          <w:szCs w:val="24"/>
          <w:lang w:val="de-DE"/>
        </w:rPr>
        <w:tab/>
      </w:r>
      <w:r w:rsidRPr="002B208F">
        <w:rPr>
          <w:rFonts w:ascii="Arial" w:eastAsia="Batang" w:hAnsi="Arial" w:cs="Arial"/>
          <w:b/>
          <w:sz w:val="24"/>
          <w:szCs w:val="24"/>
          <w:lang w:val="de-DE"/>
        </w:rPr>
        <w:t>R1-</w:t>
      </w:r>
      <w:r w:rsidR="00B25EA1">
        <w:rPr>
          <w:rFonts w:ascii="Arial" w:eastAsia="Batang" w:hAnsi="Arial" w:cs="Arial"/>
          <w:b/>
          <w:sz w:val="24"/>
          <w:szCs w:val="24"/>
          <w:lang w:val="de-DE"/>
        </w:rPr>
        <w:t>2</w:t>
      </w:r>
      <w:r w:rsidR="004E782C">
        <w:rPr>
          <w:rFonts w:ascii="Arial" w:eastAsia="Batang" w:hAnsi="Arial" w:cs="Arial"/>
          <w:b/>
          <w:sz w:val="24"/>
          <w:szCs w:val="24"/>
          <w:lang w:val="de-DE"/>
        </w:rPr>
        <w:t>1</w:t>
      </w:r>
      <w:r w:rsidR="00B25EA1">
        <w:rPr>
          <w:rFonts w:ascii="Arial" w:eastAsia="Batang" w:hAnsi="Arial" w:cs="Arial"/>
          <w:b/>
          <w:sz w:val="24"/>
          <w:szCs w:val="24"/>
          <w:lang w:val="de-DE"/>
        </w:rPr>
        <w:t>0</w:t>
      </w:r>
      <w:r w:rsidR="008851D0">
        <w:rPr>
          <w:rFonts w:ascii="Arial" w:eastAsia="Batang" w:hAnsi="Arial" w:cs="Arial"/>
          <w:b/>
          <w:sz w:val="24"/>
          <w:szCs w:val="24"/>
          <w:lang w:val="de-DE"/>
        </w:rPr>
        <w:t>0647</w:t>
      </w:r>
    </w:p>
    <w:p w14:paraId="6726F4E2" w14:textId="57D842C0"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4E782C">
        <w:rPr>
          <w:rFonts w:ascii="Arial" w:eastAsia="Batang" w:hAnsi="Arial" w:cs="Arial"/>
          <w:b/>
          <w:sz w:val="24"/>
          <w:szCs w:val="24"/>
        </w:rPr>
        <w:t>January</w:t>
      </w:r>
      <w:r w:rsidR="005120D0">
        <w:rPr>
          <w:rFonts w:ascii="Arial" w:eastAsia="Batang" w:hAnsi="Arial" w:cs="Arial"/>
          <w:b/>
          <w:sz w:val="24"/>
          <w:szCs w:val="24"/>
        </w:rPr>
        <w:t xml:space="preserve"> 2</w:t>
      </w:r>
      <w:r w:rsidR="005D58E7">
        <w:rPr>
          <w:rFonts w:ascii="Arial" w:eastAsia="Batang" w:hAnsi="Arial" w:cs="Arial"/>
          <w:b/>
          <w:sz w:val="24"/>
          <w:szCs w:val="24"/>
        </w:rPr>
        <w:t>5</w:t>
      </w:r>
      <w:r>
        <w:rPr>
          <w:rFonts w:ascii="Arial" w:eastAsia="Batang" w:hAnsi="Arial" w:cs="Arial"/>
          <w:b/>
          <w:sz w:val="24"/>
          <w:szCs w:val="24"/>
        </w:rPr>
        <w:t xml:space="preserve"> </w:t>
      </w:r>
      <w:r w:rsidRPr="00A152BE">
        <w:rPr>
          <w:rFonts w:ascii="Arial" w:eastAsia="Batang" w:hAnsi="Arial" w:cs="Arial"/>
          <w:b/>
          <w:sz w:val="24"/>
          <w:szCs w:val="24"/>
        </w:rPr>
        <w:t xml:space="preserve">– </w:t>
      </w:r>
      <w:r w:rsidR="005D58E7">
        <w:rPr>
          <w:rFonts w:ascii="Arial" w:eastAsia="Batang" w:hAnsi="Arial" w:cs="Arial"/>
          <w:b/>
          <w:sz w:val="24"/>
          <w:szCs w:val="24"/>
        </w:rPr>
        <w:t>February</w:t>
      </w:r>
      <w:r w:rsidR="005120D0">
        <w:rPr>
          <w:rFonts w:ascii="Arial" w:eastAsia="Batang" w:hAnsi="Arial" w:cs="Arial"/>
          <w:b/>
          <w:sz w:val="24"/>
          <w:szCs w:val="24"/>
        </w:rPr>
        <w:t xml:space="preserve"> </w:t>
      </w:r>
      <w:r w:rsidR="005D58E7">
        <w:rPr>
          <w:rFonts w:ascii="Arial" w:eastAsia="Batang" w:hAnsi="Arial" w:cs="Arial"/>
          <w:b/>
          <w:sz w:val="24"/>
          <w:szCs w:val="24"/>
        </w:rPr>
        <w:t>05</w:t>
      </w:r>
      <w:r w:rsidRPr="00A152BE">
        <w:rPr>
          <w:rFonts w:ascii="Arial" w:eastAsia="Batang" w:hAnsi="Arial" w:cs="Arial"/>
          <w:b/>
          <w:sz w:val="24"/>
          <w:szCs w:val="24"/>
        </w:rPr>
        <w:t>, 202</w:t>
      </w:r>
      <w:r w:rsidR="005D58E7">
        <w:rPr>
          <w:rFonts w:ascii="Arial" w:eastAsia="Batang" w:hAnsi="Arial" w:cs="Arial"/>
          <w:b/>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07948BE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EE0E55" w:rsidRPr="00EE0E55">
        <w:rPr>
          <w:rFonts w:ascii="Arial" w:hAnsi="Arial" w:cs="Arial"/>
          <w:b/>
          <w:sz w:val="24"/>
        </w:rPr>
        <w:t>Discussion on PDSCH/PUSCH enhancements for extending NR up to 71 GHz</w:t>
      </w:r>
    </w:p>
    <w:p w14:paraId="28B115E4" w14:textId="3A4668CC"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2B4C0D">
        <w:rPr>
          <w:rFonts w:ascii="Arial" w:hAnsi="Arial" w:cs="Arial"/>
          <w:b/>
          <w:sz w:val="24"/>
        </w:rPr>
        <w:t>5</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0A2240DA" w14:textId="10333111" w:rsidR="005A18CB" w:rsidRDefault="005A18CB" w:rsidP="005A18CB">
      <w:pPr>
        <w:pStyle w:val="BodyText"/>
        <w:spacing w:before="240" w:after="360"/>
        <w:rPr>
          <w:rFonts w:ascii="Times New Roman" w:hAnsi="Times New Roman"/>
          <w:szCs w:val="20"/>
          <w:lang w:val="en-US"/>
        </w:rPr>
      </w:pPr>
      <w:r w:rsidRPr="001E5F10">
        <w:rPr>
          <w:rFonts w:ascii="Times New Roman" w:hAnsi="Times New Roman"/>
          <w:szCs w:val="20"/>
        </w:rPr>
        <w:t xml:space="preserve">In this contribution, </w:t>
      </w:r>
      <w:r>
        <w:rPr>
          <w:rFonts w:ascii="Times New Roman" w:hAnsi="Times New Roman"/>
          <w:szCs w:val="20"/>
          <w:lang w:val="en-US"/>
        </w:rPr>
        <w:t xml:space="preserve">we discuss aspects related to PDSCH and PUSCH enhancements for extending NR up to 71 GHz. The WI for extending NR up to 71 GHz was approved in [1]. The following are the approved WI objectives. </w:t>
      </w:r>
    </w:p>
    <w:tbl>
      <w:tblPr>
        <w:tblStyle w:val="TableGrid"/>
        <w:tblW w:w="0" w:type="auto"/>
        <w:tblLook w:val="04A0" w:firstRow="1" w:lastRow="0" w:firstColumn="1" w:lastColumn="0" w:noHBand="0" w:noVBand="1"/>
      </w:tblPr>
      <w:tblGrid>
        <w:gridCol w:w="9962"/>
      </w:tblGrid>
      <w:tr w:rsidR="005A18CB" w14:paraId="5084F3A1" w14:textId="77777777" w:rsidTr="00C362D3">
        <w:tc>
          <w:tcPr>
            <w:tcW w:w="9962" w:type="dxa"/>
          </w:tcPr>
          <w:p w14:paraId="5F1EAA70" w14:textId="77777777" w:rsidR="005A18CB" w:rsidRDefault="005A18CB" w:rsidP="005A18CB">
            <w:pPr>
              <w:pStyle w:val="B1"/>
              <w:numPr>
                <w:ilvl w:val="0"/>
                <w:numId w:val="28"/>
              </w:numPr>
              <w:spacing w:before="0" w:after="0" w:line="240" w:lineRule="auto"/>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367D60D9" w14:textId="77777777" w:rsidR="005A18CB" w:rsidRDefault="005A18CB" w:rsidP="005A18CB">
            <w:pPr>
              <w:pStyle w:val="B1"/>
              <w:numPr>
                <w:ilvl w:val="1"/>
                <w:numId w:val="28"/>
              </w:numPr>
              <w:spacing w:before="0" w:after="0" w:line="240" w:lineRule="auto"/>
              <w:rPr>
                <w:lang w:eastAsia="ja-JP"/>
              </w:rPr>
            </w:pPr>
            <w:bookmarkStart w:id="2" w:name="_Hlk58583563"/>
            <w:bookmarkStart w:id="3"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
            <w:r>
              <w:rPr>
                <w:lang w:eastAsia="ja-JP"/>
              </w:rPr>
              <w:t xml:space="preserve">. </w:t>
            </w:r>
          </w:p>
          <w:p w14:paraId="02F92B0B" w14:textId="77777777" w:rsidR="005A18CB" w:rsidRDefault="005A18CB" w:rsidP="00C362D3">
            <w:pPr>
              <w:pStyle w:val="B1"/>
              <w:spacing w:before="0" w:after="0" w:line="240" w:lineRule="auto"/>
              <w:ind w:left="1440" w:firstLine="0"/>
              <w:rPr>
                <w:lang w:eastAsia="ja-JP"/>
              </w:rPr>
            </w:pPr>
            <w:bookmarkStart w:id="4"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3"/>
          <w:bookmarkEnd w:id="4"/>
          <w:p w14:paraId="2BF5000B" w14:textId="77777777" w:rsidR="005A18CB" w:rsidRDefault="005A18CB" w:rsidP="005A18CB">
            <w:pPr>
              <w:pStyle w:val="B1"/>
              <w:numPr>
                <w:ilvl w:val="1"/>
                <w:numId w:val="28"/>
              </w:numPr>
              <w:spacing w:before="0" w:after="0" w:line="240" w:lineRule="auto"/>
              <w:rPr>
                <w:lang w:eastAsia="ja-JP"/>
              </w:rPr>
            </w:pPr>
            <w:proofErr w:type="gramStart"/>
            <w:r>
              <w:rPr>
                <w:lang w:eastAsia="ja-JP"/>
              </w:rPr>
              <w:t>Time line</w:t>
            </w:r>
            <w:proofErr w:type="gramEnd"/>
            <w:r>
              <w:rPr>
                <w:lang w:eastAsia="ja-JP"/>
              </w:rPr>
              <w:t xml:space="preserv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710F5E91" w14:textId="77777777" w:rsidR="005A18CB" w:rsidRDefault="005A18CB" w:rsidP="005A18CB">
            <w:pPr>
              <w:pStyle w:val="B1"/>
              <w:numPr>
                <w:ilvl w:val="1"/>
                <w:numId w:val="28"/>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75ABD6D6" w14:textId="77777777" w:rsidR="005A18CB" w:rsidRDefault="005A18CB" w:rsidP="005A18CB">
            <w:pPr>
              <w:pStyle w:val="B1"/>
              <w:numPr>
                <w:ilvl w:val="1"/>
                <w:numId w:val="28"/>
              </w:numPr>
              <w:spacing w:before="0" w:after="0" w:line="240" w:lineRule="auto"/>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5C5DBAD0" w14:textId="77777777" w:rsidR="005A18CB" w:rsidRDefault="005A18CB" w:rsidP="005A18CB">
            <w:pPr>
              <w:pStyle w:val="B1"/>
              <w:numPr>
                <w:ilvl w:val="2"/>
                <w:numId w:val="28"/>
              </w:numPr>
              <w:spacing w:before="0" w:after="0" w:line="240" w:lineRule="auto"/>
              <w:rPr>
                <w:lang w:eastAsia="zh-CN"/>
              </w:rPr>
            </w:pPr>
            <w:r w:rsidRPr="00B0186F">
              <w:rPr>
                <w:lang w:eastAsia="zh-CN"/>
              </w:rPr>
              <w:t xml:space="preserve">Study and specify, if needed, additional </w:t>
            </w:r>
            <w:r w:rsidRPr="00B0186F">
              <w:rPr>
                <w:rFonts w:hint="eastAsia"/>
                <w:lang w:eastAsia="zh-CN"/>
              </w:rPr>
              <w:t>SCS</w:t>
            </w:r>
            <w:r w:rsidRPr="00B0186F">
              <w:rPr>
                <w:lang w:eastAsia="zh-CN"/>
              </w:rPr>
              <w:t xml:space="preserve"> (</w:t>
            </w:r>
            <w:r>
              <w:rPr>
                <w:lang w:eastAsia="zh-CN"/>
              </w:rPr>
              <w:t xml:space="preserve">240kHz, </w:t>
            </w:r>
            <w:r w:rsidRPr="00B0186F">
              <w:rPr>
                <w:lang w:eastAsia="zh-CN"/>
              </w:rPr>
              <w:t>480</w:t>
            </w:r>
            <w:r>
              <w:rPr>
                <w:lang w:eastAsia="zh-CN"/>
              </w:rPr>
              <w:t>k</w:t>
            </w:r>
            <w:r w:rsidRPr="00B0186F">
              <w:rPr>
                <w:lang w:eastAsia="zh-CN"/>
              </w:rPr>
              <w:t>Hz, 960</w:t>
            </w:r>
            <w:r>
              <w:rPr>
                <w:lang w:eastAsia="zh-CN"/>
              </w:rPr>
              <w:t>k</w:t>
            </w:r>
            <w:r w:rsidRPr="00B0186F">
              <w:rPr>
                <w:lang w:eastAsia="zh-CN"/>
              </w:rPr>
              <w:t>Hz) for SSB</w:t>
            </w:r>
            <w:r>
              <w:rPr>
                <w:lang w:eastAsia="zh-CN"/>
              </w:rPr>
              <w:t>,</w:t>
            </w:r>
            <w:r w:rsidRPr="00B0186F">
              <w:rPr>
                <w:lang w:eastAsia="zh-CN"/>
              </w:rPr>
              <w:t xml:space="preserve"> and </w:t>
            </w:r>
            <w:r>
              <w:rPr>
                <w:lang w:eastAsia="zh-CN"/>
              </w:rPr>
              <w:t xml:space="preserve">additional </w:t>
            </w:r>
            <w:proofErr w:type="gramStart"/>
            <w:r>
              <w:rPr>
                <w:lang w:eastAsia="zh-CN"/>
              </w:rPr>
              <w:t>SCS(</w:t>
            </w:r>
            <w:proofErr w:type="gramEnd"/>
            <w:r w:rsidRPr="00B0186F">
              <w:rPr>
                <w:lang w:eastAsia="zh-CN"/>
              </w:rPr>
              <w:t>480</w:t>
            </w:r>
            <w:r>
              <w:rPr>
                <w:lang w:eastAsia="zh-CN"/>
              </w:rPr>
              <w:t>k</w:t>
            </w:r>
            <w:r w:rsidRPr="00B0186F">
              <w:rPr>
                <w:lang w:eastAsia="zh-CN"/>
              </w:rPr>
              <w:t>Hz, 960</w:t>
            </w:r>
            <w:r>
              <w:rPr>
                <w:lang w:eastAsia="zh-CN"/>
              </w:rPr>
              <w:t>k</w:t>
            </w:r>
            <w:r w:rsidRPr="00B0186F">
              <w:rPr>
                <w:lang w:eastAsia="zh-CN"/>
              </w:rPr>
              <w:t>Hz</w:t>
            </w:r>
            <w:r>
              <w:rPr>
                <w:lang w:eastAsia="zh-CN"/>
              </w:rPr>
              <w:t xml:space="preserve">) for </w:t>
            </w:r>
            <w:r w:rsidRPr="00B0186F">
              <w:rPr>
                <w:lang w:eastAsia="zh-CN"/>
              </w:rPr>
              <w:t>initial access related signals</w:t>
            </w:r>
            <w:r>
              <w:rPr>
                <w:lang w:eastAsia="zh-CN"/>
              </w:rPr>
              <w:t xml:space="preserve">/channels </w:t>
            </w:r>
            <w:r w:rsidRPr="00B0186F">
              <w:rPr>
                <w:lang w:eastAsia="zh-CN"/>
              </w:rPr>
              <w:t>in initial BW</w:t>
            </w:r>
            <w:r>
              <w:rPr>
                <w:lang w:eastAsia="zh-CN"/>
              </w:rPr>
              <w:t>P.</w:t>
            </w:r>
          </w:p>
          <w:p w14:paraId="12D4AD22" w14:textId="77777777" w:rsidR="005A18CB" w:rsidRDefault="005A18CB" w:rsidP="005A18CB">
            <w:pPr>
              <w:pStyle w:val="B1"/>
              <w:numPr>
                <w:ilvl w:val="2"/>
                <w:numId w:val="28"/>
              </w:numPr>
              <w:spacing w:before="0" w:after="0" w:line="240" w:lineRule="auto"/>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0402B697" w14:textId="77777777" w:rsidR="005A18CB" w:rsidRDefault="005A18CB" w:rsidP="005A18CB">
            <w:pPr>
              <w:pStyle w:val="B1"/>
              <w:numPr>
                <w:ilvl w:val="2"/>
                <w:numId w:val="28"/>
              </w:numPr>
              <w:spacing w:before="0" w:after="0" w:line="240" w:lineRule="auto"/>
              <w:rPr>
                <w:lang w:eastAsia="zh-CN"/>
              </w:rPr>
            </w:pPr>
            <w:r>
              <w:rPr>
                <w:lang w:eastAsia="zh-CN"/>
              </w:rPr>
              <w:t>Note: coverage enhancement for SSB is not pursued.</w:t>
            </w:r>
          </w:p>
          <w:p w14:paraId="77236C09" w14:textId="77777777" w:rsidR="005A18CB" w:rsidRDefault="005A18CB" w:rsidP="005A18CB">
            <w:pPr>
              <w:pStyle w:val="B1"/>
              <w:numPr>
                <w:ilvl w:val="1"/>
                <w:numId w:val="28"/>
              </w:numPr>
              <w:spacing w:before="0" w:after="0" w:line="240" w:lineRule="auto"/>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24F4836B" w14:textId="77777777" w:rsidR="005A18CB" w:rsidRPr="001513A9" w:rsidRDefault="005A18CB" w:rsidP="005A18CB">
            <w:pPr>
              <w:pStyle w:val="B1"/>
              <w:numPr>
                <w:ilvl w:val="2"/>
                <w:numId w:val="28"/>
              </w:numPr>
              <w:adjustRightInd/>
              <w:spacing w:before="0" w:after="0" w:line="240" w:lineRule="auto"/>
              <w:textAlignment w:val="auto"/>
              <w:rPr>
                <w:lang w:eastAsia="ja-JP"/>
              </w:rPr>
            </w:pPr>
            <w:r>
              <w:rPr>
                <w:lang w:eastAsia="ja-JP"/>
              </w:rPr>
              <w:t>Study which beam management will be used as a basis: R15/16 or R17</w:t>
            </w:r>
            <w:r w:rsidRPr="001513A9">
              <w:rPr>
                <w:lang w:eastAsia="ja-JP"/>
              </w:rPr>
              <w:t xml:space="preserve"> in RAN #91-e</w:t>
            </w:r>
          </w:p>
          <w:p w14:paraId="536253F2" w14:textId="77777777" w:rsidR="005A18CB" w:rsidRPr="004F31B4" w:rsidRDefault="005A18CB" w:rsidP="005A18CB">
            <w:pPr>
              <w:pStyle w:val="B1"/>
              <w:numPr>
                <w:ilvl w:val="1"/>
                <w:numId w:val="28"/>
              </w:numPr>
              <w:spacing w:before="0" w:after="0" w:line="240" w:lineRule="auto"/>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7E3B4DF7" w14:textId="77777777" w:rsidR="005A18CB" w:rsidRPr="004A7C83" w:rsidRDefault="005A18CB" w:rsidP="005A18CB">
            <w:pPr>
              <w:pStyle w:val="B1"/>
              <w:numPr>
                <w:ilvl w:val="1"/>
                <w:numId w:val="28"/>
              </w:numPr>
              <w:spacing w:before="0" w:after="0" w:line="240" w:lineRule="auto"/>
              <w:rPr>
                <w:lang w:eastAsia="zh-CN"/>
              </w:rPr>
            </w:pPr>
            <w:r w:rsidRPr="004A7C83">
              <w:rPr>
                <w:rFonts w:hint="eastAsia"/>
                <w:lang w:eastAsia="zh-CN"/>
              </w:rPr>
              <w:t>Support enhancements for multi-PDSCH/PUSCH scheduling and HARQ support with a single DCI</w:t>
            </w:r>
          </w:p>
          <w:p w14:paraId="442B01E1" w14:textId="77777777" w:rsidR="005A18CB" w:rsidRPr="00F30C85" w:rsidRDefault="005A18CB" w:rsidP="00C362D3">
            <w:pPr>
              <w:pStyle w:val="b110"/>
              <w:spacing w:before="0" w:after="0" w:line="240" w:lineRule="auto"/>
              <w:ind w:left="720" w:firstLine="360"/>
              <w:rPr>
                <w:rFonts w:eastAsia="SimSun"/>
                <w:sz w:val="20"/>
                <w:szCs w:val="20"/>
                <w:lang w:val="en-GB"/>
              </w:rPr>
            </w:pPr>
            <w:r>
              <w:rPr>
                <w:rFonts w:eastAsia="SimSun"/>
                <w:sz w:val="20"/>
                <w:szCs w:val="20"/>
                <w:lang w:val="en-GB"/>
              </w:rPr>
              <w:t xml:space="preserve">       </w:t>
            </w:r>
            <w:r w:rsidRPr="00F30C85">
              <w:rPr>
                <w:rFonts w:eastAsia="SimSun" w:hint="eastAsia"/>
                <w:sz w:val="20"/>
                <w:szCs w:val="20"/>
                <w:lang w:val="en-GB"/>
              </w:rPr>
              <w:t>Note: coverage enhancement for multi-PDSCH/PUSCH scheduling is not pursued</w:t>
            </w:r>
          </w:p>
          <w:p w14:paraId="40F3E609" w14:textId="77777777" w:rsidR="005A18CB" w:rsidRDefault="005A18CB" w:rsidP="005A18CB">
            <w:pPr>
              <w:pStyle w:val="B1"/>
              <w:numPr>
                <w:ilvl w:val="1"/>
                <w:numId w:val="28"/>
              </w:numPr>
              <w:spacing w:before="0" w:after="0" w:line="240" w:lineRule="auto"/>
              <w:rPr>
                <w:lang w:eastAsia="zh-CN"/>
              </w:rPr>
            </w:pPr>
            <w:bookmarkStart w:id="5" w:name="_Hlk58595024"/>
            <w:r>
              <w:rPr>
                <w:lang w:eastAsia="zh-CN"/>
              </w:rPr>
              <w:t>Support enhancement to PDCCH monitoring, including blind detection/CCE budget, and multi-slot span monitoring, potential limitation to UE PDCCH configuration and capability related to PDCCH monitoring.</w:t>
            </w:r>
          </w:p>
          <w:bookmarkEnd w:id="5"/>
          <w:p w14:paraId="67CCC42E" w14:textId="77777777" w:rsidR="005A18CB" w:rsidRPr="00112051" w:rsidRDefault="005A18CB" w:rsidP="005A18CB">
            <w:pPr>
              <w:pStyle w:val="B1"/>
              <w:numPr>
                <w:ilvl w:val="1"/>
                <w:numId w:val="28"/>
              </w:numPr>
              <w:spacing w:before="0" w:after="0" w:line="240" w:lineRule="auto"/>
              <w:rPr>
                <w:rFonts w:eastAsia="DengXian"/>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6"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6"/>
            <w:r w:rsidRPr="001513A9">
              <w:rPr>
                <w:lang w:eastAsia="ko-KR"/>
              </w:rPr>
              <w:t>time domain for operation in shared spectrum</w:t>
            </w:r>
            <w:r w:rsidRPr="00112051">
              <w:rPr>
                <w:rFonts w:eastAsia="DengXian"/>
                <w:lang w:eastAsia="ko-KR"/>
              </w:rPr>
              <w:t xml:space="preserve"> </w:t>
            </w:r>
          </w:p>
          <w:p w14:paraId="358EFB8B" w14:textId="77777777" w:rsidR="005A18CB" w:rsidRDefault="005A18CB" w:rsidP="005A18CB">
            <w:pPr>
              <w:pStyle w:val="B1"/>
              <w:numPr>
                <w:ilvl w:val="1"/>
                <w:numId w:val="28"/>
              </w:numPr>
              <w:spacing w:before="0" w:after="0" w:line="240" w:lineRule="auto"/>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4954CD60" w14:textId="77777777" w:rsidR="005A18CB" w:rsidRDefault="005A18CB" w:rsidP="005A18CB">
            <w:pPr>
              <w:pStyle w:val="B1"/>
              <w:numPr>
                <w:ilvl w:val="0"/>
                <w:numId w:val="28"/>
              </w:numPr>
              <w:spacing w:before="0" w:after="0" w:line="240" w:lineRule="auto"/>
            </w:pPr>
            <w:r w:rsidRPr="00E036CB">
              <w:rPr>
                <w:lang w:eastAsia="ja-JP"/>
              </w:rPr>
              <w:t>Physical layer procedure(s) including [RAN1]</w:t>
            </w:r>
            <w:r w:rsidRPr="00E036CB">
              <w:rPr>
                <w:rFonts w:hint="eastAsia"/>
                <w:lang w:eastAsia="ja-JP"/>
              </w:rPr>
              <w:t>:</w:t>
            </w:r>
          </w:p>
          <w:p w14:paraId="5557B976" w14:textId="77777777" w:rsidR="005A18CB" w:rsidRDefault="005A18CB" w:rsidP="005A18CB">
            <w:pPr>
              <w:pStyle w:val="B1"/>
              <w:numPr>
                <w:ilvl w:val="1"/>
                <w:numId w:val="28"/>
              </w:numPr>
              <w:spacing w:before="0" w:after="0" w:line="240" w:lineRule="auto"/>
            </w:pPr>
            <w:r>
              <w:rPr>
                <w:lang w:eastAsia="ja-JP"/>
              </w:rPr>
              <w:t xml:space="preserve">Channel access mechanism assuming </w:t>
            </w:r>
            <w:proofErr w:type="gramStart"/>
            <w:r>
              <w:rPr>
                <w:lang w:eastAsia="ja-JP"/>
              </w:rPr>
              <w:t>beam based</w:t>
            </w:r>
            <w:proofErr w:type="gramEnd"/>
            <w:r>
              <w:rPr>
                <w:lang w:eastAsia="ja-JP"/>
              </w:rPr>
              <w:t xml:space="preserve"> operation in order to comply with the regulatory requirements applicable to unlicensed spectrum for frequencies between 52.6GHz and 71GHz.</w:t>
            </w:r>
          </w:p>
          <w:p w14:paraId="2172B8B0" w14:textId="77777777" w:rsidR="005A18CB" w:rsidRDefault="005A18CB" w:rsidP="005A18CB">
            <w:pPr>
              <w:pStyle w:val="B1"/>
              <w:numPr>
                <w:ilvl w:val="2"/>
                <w:numId w:val="28"/>
              </w:numPr>
              <w:spacing w:before="0" w:after="0" w:line="240" w:lineRule="auto"/>
            </w:pPr>
            <w:r>
              <w:t>Specify both LBT and No-LBT related procedures, and for No-LBT case no additional sensing mechanism is specified.</w:t>
            </w:r>
          </w:p>
          <w:p w14:paraId="49240317" w14:textId="77777777" w:rsidR="005A18CB" w:rsidRPr="0059789F" w:rsidRDefault="005A18CB" w:rsidP="005A18CB">
            <w:pPr>
              <w:pStyle w:val="B1"/>
              <w:numPr>
                <w:ilvl w:val="2"/>
                <w:numId w:val="28"/>
              </w:numPr>
              <w:spacing w:before="0" w:after="0" w:line="240" w:lineRule="auto"/>
            </w:pPr>
            <w:r>
              <w:t xml:space="preserve">Study, and if needed specify, omni-directional LBT, directional LBT and receiver </w:t>
            </w:r>
            <w:r w:rsidRPr="00D25295">
              <w:rPr>
                <w:rFonts w:hint="eastAsia"/>
              </w:rPr>
              <w:t>assistance in channel access</w:t>
            </w:r>
          </w:p>
          <w:p w14:paraId="05976A51" w14:textId="77777777" w:rsidR="005A18CB" w:rsidRDefault="005A18CB" w:rsidP="005A18CB">
            <w:pPr>
              <w:pStyle w:val="B1"/>
              <w:numPr>
                <w:ilvl w:val="2"/>
                <w:numId w:val="28"/>
              </w:numPr>
              <w:spacing w:before="0" w:after="0" w:line="240" w:lineRule="auto"/>
            </w:pPr>
            <w:r>
              <w:t xml:space="preserve">Study, and if needed specify, </w:t>
            </w:r>
            <w:r w:rsidRPr="0059789F">
              <w:t xml:space="preserve">energy detection threshold enhancement </w:t>
            </w:r>
          </w:p>
          <w:p w14:paraId="1CD65A8D" w14:textId="77777777" w:rsidR="005A18CB" w:rsidRDefault="005A18CB" w:rsidP="005A18CB">
            <w:pPr>
              <w:pStyle w:val="B1"/>
              <w:numPr>
                <w:ilvl w:val="0"/>
                <w:numId w:val="28"/>
              </w:numPr>
              <w:spacing w:before="0" w:after="0" w:line="240" w:lineRule="auto"/>
            </w:pPr>
            <w:r w:rsidRPr="00E036CB">
              <w:rPr>
                <w:lang w:eastAsia="ja-JP"/>
              </w:rPr>
              <w:lastRenderedPageBreak/>
              <w:t>Radio interface protocol architecture and procedures [RAN2]</w:t>
            </w:r>
            <w:r w:rsidRPr="00E036CB">
              <w:rPr>
                <w:rFonts w:hint="eastAsia"/>
                <w:lang w:eastAsia="ja-JP"/>
              </w:rPr>
              <w:t>:</w:t>
            </w:r>
          </w:p>
          <w:p w14:paraId="665CA4BE" w14:textId="77777777" w:rsidR="005A18CB" w:rsidRDefault="005A18CB" w:rsidP="005A18CB">
            <w:pPr>
              <w:pStyle w:val="B1"/>
              <w:numPr>
                <w:ilvl w:val="1"/>
                <w:numId w:val="28"/>
              </w:numPr>
              <w:spacing w:before="0" w:after="0" w:line="240" w:lineRule="auto"/>
            </w:pPr>
            <w:r>
              <w:rPr>
                <w:lang w:eastAsia="ja-JP"/>
              </w:rPr>
              <w:t>For operation in this frequency range: Introduce higher layer support of enhancements listed above that are agreed to be specified.</w:t>
            </w:r>
          </w:p>
          <w:p w14:paraId="0B28FED8" w14:textId="77777777" w:rsidR="005A18CB" w:rsidRDefault="005A18CB" w:rsidP="005A18CB">
            <w:pPr>
              <w:pStyle w:val="B1"/>
              <w:numPr>
                <w:ilvl w:val="0"/>
                <w:numId w:val="28"/>
              </w:numPr>
              <w:spacing w:before="0" w:after="0" w:line="240" w:lineRule="auto"/>
              <w:rPr>
                <w:lang w:eastAsia="ja-JP"/>
              </w:rPr>
            </w:pPr>
            <w:r>
              <w:rPr>
                <w:lang w:eastAsia="ja-JP"/>
              </w:rPr>
              <w:t xml:space="preserve">Core specifications for UE, </w:t>
            </w:r>
            <w:proofErr w:type="spellStart"/>
            <w:r>
              <w:rPr>
                <w:lang w:eastAsia="ja-JP"/>
              </w:rPr>
              <w:t>gNB</w:t>
            </w:r>
            <w:proofErr w:type="spellEnd"/>
            <w:r>
              <w:rPr>
                <w:lang w:eastAsia="ja-JP"/>
              </w:rPr>
              <w:t xml:space="preserve"> and RRM requirements [RAN4]:</w:t>
            </w:r>
          </w:p>
          <w:p w14:paraId="3EC55493" w14:textId="77777777" w:rsidR="005A18CB" w:rsidRDefault="005A18CB" w:rsidP="005A18CB">
            <w:pPr>
              <w:pStyle w:val="B1"/>
              <w:numPr>
                <w:ilvl w:val="1"/>
                <w:numId w:val="28"/>
              </w:numPr>
              <w:spacing w:before="0" w:after="0" w:line="240" w:lineRule="auto"/>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334A5668" w14:textId="77777777" w:rsidR="005A18CB" w:rsidRPr="00E6121B" w:rsidRDefault="005A18CB" w:rsidP="005A18CB">
            <w:pPr>
              <w:pStyle w:val="B2"/>
              <w:numPr>
                <w:ilvl w:val="1"/>
                <w:numId w:val="28"/>
              </w:numPr>
              <w:spacing w:before="0" w:after="0" w:line="240" w:lineRule="auto"/>
            </w:pPr>
            <w:r>
              <w:rPr>
                <w:lang w:eastAsia="ja-JP"/>
              </w:rPr>
              <w:t xml:space="preserve">Specify </w:t>
            </w:r>
            <w:proofErr w:type="spellStart"/>
            <w:r>
              <w:rPr>
                <w:lang w:eastAsia="zh-CN"/>
              </w:rPr>
              <w:t>gNB</w:t>
            </w:r>
            <w:proofErr w:type="spellEnd"/>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t>a limited set of example band combinations</w:t>
            </w:r>
            <w:r>
              <w:t xml:space="preserve"> (see Note 1)</w:t>
            </w:r>
            <w:r w:rsidRPr="00EC3726">
              <w:t xml:space="preserve">. </w:t>
            </w:r>
          </w:p>
          <w:p w14:paraId="45E1A6CD" w14:textId="77777777" w:rsidR="005A18CB" w:rsidRDefault="005A18CB" w:rsidP="005A18CB">
            <w:pPr>
              <w:pStyle w:val="B2"/>
              <w:numPr>
                <w:ilvl w:val="1"/>
                <w:numId w:val="28"/>
              </w:numPr>
              <w:spacing w:before="0" w:after="0" w:line="240" w:lineRule="auto"/>
              <w:rPr>
                <w:lang w:eastAsia="zh-CN"/>
              </w:rPr>
            </w:pPr>
            <w:r>
              <w:rPr>
                <w:lang w:eastAsia="zh-CN"/>
              </w:rPr>
              <w:t>Specify RRM/RLM/BM core requirements.</w:t>
            </w:r>
          </w:p>
          <w:p w14:paraId="7CC8EA33" w14:textId="77777777" w:rsidR="005A18CB" w:rsidRDefault="005A18CB" w:rsidP="00C362D3">
            <w:pPr>
              <w:pStyle w:val="B2"/>
              <w:spacing w:before="0" w:after="0" w:line="240" w:lineRule="auto"/>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42CD9DAA" w14:textId="77777777" w:rsidR="005A18CB" w:rsidRDefault="005A18CB" w:rsidP="00C362D3">
            <w:pPr>
              <w:pStyle w:val="B2"/>
              <w:spacing w:before="0" w:after="0" w:line="240" w:lineRule="auto"/>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65265567" w14:textId="77777777" w:rsidR="005A18CB" w:rsidRPr="000B6573" w:rsidRDefault="005A18CB" w:rsidP="00C362D3">
            <w:pPr>
              <w:pStyle w:val="B2"/>
              <w:spacing w:before="0" w:after="0" w:line="240" w:lineRule="auto"/>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0AA737AC" w14:textId="77777777" w:rsidR="005A18CB" w:rsidRDefault="005A18CB" w:rsidP="00C362D3">
            <w:pPr>
              <w:pStyle w:val="B2"/>
              <w:spacing w:before="0" w:after="0" w:line="240" w:lineRule="auto"/>
              <w:ind w:left="720" w:firstLine="0"/>
              <w:rPr>
                <w:lang w:eastAsia="zh-CN"/>
              </w:rPr>
            </w:pPr>
            <w:r w:rsidRPr="000B6573">
              <w:rPr>
                <w:lang w:eastAsia="zh-CN"/>
              </w:rPr>
              <w:t>Note 4: the system is designed to support both single-carrier and multi-carrier operation</w:t>
            </w:r>
            <w:r>
              <w:rPr>
                <w:lang w:eastAsia="zh-CN"/>
              </w:rPr>
              <w:t>.</w:t>
            </w:r>
          </w:p>
          <w:p w14:paraId="4C0F8080" w14:textId="77777777" w:rsidR="005A18CB" w:rsidRPr="0063748A" w:rsidRDefault="005A18CB" w:rsidP="00C362D3">
            <w:pPr>
              <w:pStyle w:val="B2"/>
              <w:spacing w:before="0" w:after="0" w:line="240" w:lineRule="auto"/>
              <w:ind w:left="720" w:firstLine="0"/>
              <w:rPr>
                <w:lang w:eastAsia="zh-CN"/>
              </w:rPr>
            </w:pPr>
            <w:bookmarkStart w:id="7" w:name="_Hlk58594589"/>
            <w:r w:rsidRPr="0063748A">
              <w:rPr>
                <w:rFonts w:hint="eastAsia"/>
                <w:lang w:eastAsia="zh-CN"/>
              </w:rPr>
              <w:t>Note</w:t>
            </w:r>
            <w:r w:rsidRPr="0063748A">
              <w:rPr>
                <w:lang w:eastAsia="zh-CN"/>
              </w:rPr>
              <w:t xml:space="preserve"> 5</w:t>
            </w:r>
            <w:r w:rsidRPr="0063748A">
              <w:rPr>
                <w:rFonts w:hint="eastAsia"/>
                <w:lang w:eastAsia="zh-CN"/>
              </w:rPr>
              <w:t xml:space="preserve">: RAN plenary will decide </w:t>
            </w:r>
            <w:bookmarkEnd w:id="7"/>
            <w:r w:rsidRPr="0063748A">
              <w:rPr>
                <w:rFonts w:hint="eastAsia"/>
                <w:lang w:eastAsia="zh-CN"/>
              </w:rPr>
              <w:t>whether new FR (e.g. FR3) shall be defined for the frequency range from 52.6GHz-71GHz or the existing FR2 shall be extended to cover frequency range from 52.6GHz-71GHz.</w:t>
            </w:r>
          </w:p>
          <w:p w14:paraId="09C17F20" w14:textId="77777777" w:rsidR="005A18CB" w:rsidRPr="00A7059D" w:rsidRDefault="005A18CB" w:rsidP="00C362D3">
            <w:pPr>
              <w:spacing w:before="0" w:after="0" w:line="240" w:lineRule="auto"/>
              <w:rPr>
                <w:bCs/>
              </w:rPr>
            </w:pPr>
            <w:bookmarkStart w:id="8" w:name="_Hlk58524207"/>
            <w:proofErr w:type="gramStart"/>
            <w:r>
              <w:rPr>
                <w:bCs/>
              </w:rPr>
              <w:t>Similar to</w:t>
            </w:r>
            <w:proofErr w:type="gramEnd"/>
            <w:r>
              <w:rPr>
                <w:bCs/>
              </w:rPr>
              <w:t xml:space="preserve"> regular NR and NR-U operations below 52.6GHz, NR/NR-U operation in the 52.6GHz to 71GHz can be in stand-alone or aggregated via CA or DC with an anchor carrier.  </w:t>
            </w:r>
          </w:p>
          <w:bookmarkEnd w:id="8"/>
          <w:p w14:paraId="5F36B32F" w14:textId="77777777" w:rsidR="005A18CB" w:rsidRDefault="005A18CB" w:rsidP="00C362D3">
            <w:pPr>
              <w:pStyle w:val="BodyText"/>
              <w:spacing w:before="0" w:after="0" w:line="240" w:lineRule="auto"/>
              <w:rPr>
                <w:rFonts w:ascii="Times New Roman" w:hAnsi="Times New Roman"/>
                <w:szCs w:val="20"/>
                <w:lang w:val="en-US" w:eastAsia="zh-CN"/>
              </w:rPr>
            </w:pPr>
          </w:p>
        </w:tc>
      </w:tr>
    </w:tbl>
    <w:p w14:paraId="1783545D" w14:textId="7097DC51" w:rsidR="005A18CB" w:rsidRDefault="005A18CB" w:rsidP="005A18CB">
      <w:pPr>
        <w:pStyle w:val="BodyText"/>
        <w:spacing w:before="240" w:after="360"/>
        <w:rPr>
          <w:rFonts w:ascii="Times New Roman" w:hAnsi="Times New Roman"/>
          <w:szCs w:val="20"/>
          <w:lang w:val="en-US" w:eastAsia="zh-CN"/>
        </w:rPr>
      </w:pPr>
      <w:r>
        <w:rPr>
          <w:rFonts w:ascii="Times New Roman" w:hAnsi="Times New Roman"/>
          <w:szCs w:val="20"/>
          <w:lang w:val="en-US" w:eastAsia="zh-CN"/>
        </w:rPr>
        <w:lastRenderedPageBreak/>
        <w:t xml:space="preserve">The main issues discussed in the following section for </w:t>
      </w:r>
      <w:r w:rsidR="004F2AF8">
        <w:rPr>
          <w:rFonts w:ascii="Times New Roman" w:hAnsi="Times New Roman"/>
          <w:szCs w:val="20"/>
          <w:lang w:val="en-US" w:eastAsia="zh-CN"/>
        </w:rPr>
        <w:t>PDSCH and PUSCH enhancements are</w:t>
      </w:r>
      <w:r>
        <w:rPr>
          <w:rFonts w:ascii="Times New Roman" w:hAnsi="Times New Roman"/>
          <w:szCs w:val="20"/>
          <w:lang w:val="en-US" w:eastAsia="zh-CN"/>
        </w:rPr>
        <w:t xml:space="preserve"> </w:t>
      </w:r>
      <w:r w:rsidR="00880754">
        <w:rPr>
          <w:rFonts w:ascii="Times New Roman" w:hAnsi="Times New Roman"/>
          <w:szCs w:val="20"/>
          <w:lang w:val="en-US" w:eastAsia="zh-CN"/>
        </w:rPr>
        <w:t xml:space="preserve">maximum/minimum supported bandwidth for PDSCH/PUSCH, </w:t>
      </w:r>
      <w:r w:rsidR="004F2AF8">
        <w:rPr>
          <w:rFonts w:ascii="Times New Roman" w:hAnsi="Times New Roman"/>
          <w:szCs w:val="20"/>
          <w:lang w:val="en-US" w:eastAsia="zh-CN"/>
        </w:rPr>
        <w:t>multi-TTI scheduling</w:t>
      </w:r>
      <w:r w:rsidR="00880754">
        <w:rPr>
          <w:rFonts w:ascii="Times New Roman" w:hAnsi="Times New Roman"/>
          <w:szCs w:val="20"/>
          <w:lang w:val="en-US" w:eastAsia="zh-CN"/>
        </w:rPr>
        <w:t>, and potential enhancements to PTRS and DMRS.</w:t>
      </w:r>
    </w:p>
    <w:p w14:paraId="1895FE6F" w14:textId="733E0AC8" w:rsidR="004F2AF8" w:rsidRDefault="00E40F68" w:rsidP="00AE6557">
      <w:pPr>
        <w:pStyle w:val="Heading1"/>
        <w:rPr>
          <w:lang w:val="en-US"/>
        </w:rPr>
      </w:pPr>
      <w:r>
        <w:rPr>
          <w:lang w:val="en-US"/>
        </w:rPr>
        <w:t>Discussion</w:t>
      </w:r>
      <w:r w:rsidR="004F2AF8">
        <w:rPr>
          <w:lang w:val="en-US"/>
        </w:rPr>
        <w:t>s</w:t>
      </w:r>
    </w:p>
    <w:p w14:paraId="61C62FCA" w14:textId="4ABB251C" w:rsidR="00606797" w:rsidRDefault="00606797" w:rsidP="00606797">
      <w:pPr>
        <w:pStyle w:val="Heading2"/>
      </w:pPr>
      <w:r>
        <w:t>Maximum and Minimum Supported Bandwidth</w:t>
      </w:r>
    </w:p>
    <w:p w14:paraId="6E8FCC1C" w14:textId="03AECFFF" w:rsidR="00774357" w:rsidRDefault="002E06CE" w:rsidP="00B24153">
      <w:r>
        <w:t>RAN1 has agreed to limit the bandwidths supported by a specific subcarrier spacing (SCS)</w:t>
      </w:r>
      <w:r w:rsidR="0032750E">
        <w:t xml:space="preserve"> such that it can be implemented using a maximum FFT size of 4096. Additionally, the maximum number of PRBs is limited to 275</w:t>
      </w:r>
      <w:r w:rsidR="005A1C24">
        <w:t xml:space="preserve">. </w:t>
      </w:r>
      <w:r w:rsidR="005846AB">
        <w:t>These limitations are identical to transceiver limitation assumed for Rel-15 NR</w:t>
      </w:r>
      <w:r w:rsidR="00A754E2">
        <w:t xml:space="preserve">. </w:t>
      </w:r>
      <w:r w:rsidR="005846AB">
        <w:t xml:space="preserve">Lastly, </w:t>
      </w:r>
      <w:r w:rsidR="00A754E2">
        <w:t xml:space="preserve">RAN1 has agreed that </w:t>
      </w:r>
      <w:r w:rsidR="005846AB">
        <w:t>t</w:t>
      </w:r>
      <w:r w:rsidR="005A1C24">
        <w:t xml:space="preserve">he upper bound of a single component carrier was also agreed to be 2160 </w:t>
      </w:r>
      <w:proofErr w:type="spellStart"/>
      <w:r w:rsidR="005A1C24">
        <w:t>MHz.</w:t>
      </w:r>
      <w:proofErr w:type="spellEnd"/>
    </w:p>
    <w:p w14:paraId="79F8A892" w14:textId="03D59D88" w:rsidR="005846AB" w:rsidRDefault="005846AB" w:rsidP="00B24153">
      <w:r>
        <w:t>For 120 kHz SCS, RAN4 has already concluded to maximum bandwidth of 400 MHz</w:t>
      </w:r>
      <w:r w:rsidR="00A754E2">
        <w:t xml:space="preserve"> during Rel-15 based on the transceiver limitations</w:t>
      </w:r>
      <w:r w:rsidR="00DB6234">
        <w:t>, 4k FFT and 275 max PRB size.</w:t>
      </w:r>
    </w:p>
    <w:p w14:paraId="35092D8B" w14:textId="2840F380" w:rsidR="00DB6234" w:rsidRDefault="00DB6234" w:rsidP="00B24153">
      <w:r>
        <w:t xml:space="preserve">For 480 kHz SCS, if we follow </w:t>
      </w:r>
      <w:r w:rsidR="0023719C">
        <w:t>agreed limitations, then maximum supported channel bandwidth will approximately correspond to 1.6 GHz. Please note the actual occupied bandwidth will be limited by 275 PRB size</w:t>
      </w:r>
      <w:r w:rsidR="00415C8F">
        <w:t xml:space="preserve"> and will be strictly smaller than 1.584 GHz. </w:t>
      </w:r>
      <w:r w:rsidR="00AA1CD9">
        <w:t xml:space="preserve">Most likely RAN4 will further evaluate the required </w:t>
      </w:r>
      <w:proofErr w:type="spellStart"/>
      <w:r w:rsidR="00AA1CD9">
        <w:t>guardband</w:t>
      </w:r>
      <w:proofErr w:type="spellEnd"/>
      <w:r w:rsidR="00AA1CD9">
        <w:t xml:space="preserve"> for a 1.6 GHz channel </w:t>
      </w:r>
      <w:proofErr w:type="gramStart"/>
      <w:r w:rsidR="00AA1CD9">
        <w:t>bandwidth, and</w:t>
      </w:r>
      <w:proofErr w:type="gramEnd"/>
      <w:r w:rsidR="0027068E">
        <w:t xml:space="preserve"> assign a smaller max PRB for 1.6 GHz channel bandwidth.</w:t>
      </w:r>
    </w:p>
    <w:p w14:paraId="5ECA4DC4" w14:textId="46B223C0" w:rsidR="0027068E" w:rsidRDefault="0027068E" w:rsidP="00B24153">
      <w:r>
        <w:t xml:space="preserve">For 960 kHz SCS, </w:t>
      </w:r>
      <w:r w:rsidR="00485DE1">
        <w:t xml:space="preserve">it is possible to go up to 3.2 GHz. However, RAN1 agreement </w:t>
      </w:r>
      <w:r w:rsidR="002110B3">
        <w:t xml:space="preserve">state that a single component carrier needs to be smaller than 2160 </w:t>
      </w:r>
      <w:proofErr w:type="spellStart"/>
      <w:r w:rsidR="002110B3">
        <w:t>MHz.</w:t>
      </w:r>
      <w:proofErr w:type="spellEnd"/>
      <w:r w:rsidR="002110B3">
        <w:t xml:space="preserve"> In order to have a scaled bandwidth compared with 120 kHz or 480 kHz</w:t>
      </w:r>
      <w:r w:rsidR="002112E4">
        <w:t>. 2GHz channel bandwidth is suggested to be the maximum supported bandwidth for 960 kHz SCS.</w:t>
      </w:r>
      <w:r w:rsidR="00A63112">
        <w:t xml:space="preserve"> If we consider potential </w:t>
      </w:r>
      <w:proofErr w:type="spellStart"/>
      <w:r w:rsidR="00A63112">
        <w:t>guardbands</w:t>
      </w:r>
      <w:proofErr w:type="spellEnd"/>
      <w:r w:rsidR="00A63112">
        <w:t xml:space="preserve"> required for a 2 GHz channel bandwidth, the maximum number of PRBs should be </w:t>
      </w:r>
      <w:r w:rsidR="00A52930">
        <w:t>likely be smaller than</w:t>
      </w:r>
      <w:r w:rsidR="00A63112">
        <w:t xml:space="preserve"> 170 PRBs</w:t>
      </w:r>
      <w:r w:rsidR="007A7874">
        <w:t>, most likely between 16</w:t>
      </w:r>
      <w:r w:rsidR="00082CD1">
        <w:t>2 ~ 168 PRBs</w:t>
      </w:r>
      <w:r w:rsidR="00A63112">
        <w:t xml:space="preserve">. </w:t>
      </w:r>
      <w:r w:rsidR="001F4157">
        <w:t>With 170 PRBs</w:t>
      </w:r>
      <w:r w:rsidR="00AE3467">
        <w:t>, the spectr</w:t>
      </w:r>
      <w:r w:rsidR="00E844B6">
        <w:t>um</w:t>
      </w:r>
      <w:r w:rsidR="00AE3467">
        <w:t xml:space="preserve"> efficiency</w:t>
      </w:r>
      <w:r w:rsidR="00DE05CE">
        <w:t xml:space="preserve"> </w:t>
      </w:r>
      <w:r w:rsidR="005B2CBE">
        <w:t xml:space="preserve">is 97.9% of 2 GHz channel bandwidth. Therefore, </w:t>
      </w:r>
      <w:r w:rsidR="00641240">
        <w:t xml:space="preserve">RAN4 will </w:t>
      </w:r>
      <w:r w:rsidR="008D6CD2">
        <w:t xml:space="preserve">most likely conclude on </w:t>
      </w:r>
      <w:r w:rsidR="00C860D6">
        <w:t>PRB size for 2 GHz channel bandwidth with 960 kHz SCS to be something smaller than 170 PRBs.</w:t>
      </w:r>
      <w:r w:rsidR="002868D1">
        <w:t xml:space="preserve"> </w:t>
      </w:r>
      <w:r w:rsidR="006E7956">
        <w:t>The added benefit of 2 GHz channel bandwidth and smaller or equal to 170 PRB is that</w:t>
      </w:r>
      <w:r w:rsidR="00802BE1">
        <w:t xml:space="preserve"> waveform for physical layer signals and channel could be still represented by existing reference sampling rate, Tc, which is equal to 1/(480e3 x 4096)</w:t>
      </w:r>
      <w:r w:rsidR="003350C3">
        <w:t xml:space="preserve">. </w:t>
      </w:r>
    </w:p>
    <w:p w14:paraId="299192E6" w14:textId="348A8D0B" w:rsidR="00774357" w:rsidRDefault="00F4736F" w:rsidP="00B24153">
      <w:r>
        <w:t>While a 2 GHz channel bandwidth would be slightly smaller than 802.11ad/ay single channel bandwidth of 2.16 GHz</w:t>
      </w:r>
      <w:r w:rsidR="00A63568">
        <w:t xml:space="preserve">. It should be noted that 802.11ad/11ay system </w:t>
      </w:r>
      <w:proofErr w:type="gramStart"/>
      <w:r w:rsidR="00A63568">
        <w:t>actually uses</w:t>
      </w:r>
      <w:proofErr w:type="gramEnd"/>
      <w:r w:rsidR="00A63568">
        <w:t xml:space="preserve"> 1.88 GHz occupied bandwidth within 2.16 GHz channel bandwidth</w:t>
      </w:r>
      <w:r w:rsidR="00CA34A8">
        <w:t xml:space="preserve"> for single carrier waveform (11ad), and 1.83 GHz occupied bandwidth </w:t>
      </w:r>
      <w:r w:rsidR="00C432EC">
        <w:t xml:space="preserve">(355 subcarriers with 5.15625 MHz SCS) </w:t>
      </w:r>
      <w:r w:rsidR="00CA34A8">
        <w:t>within 2.16 GHz channel bandwidth for OFDM waveform (11ay)</w:t>
      </w:r>
      <w:r w:rsidR="00C432EC">
        <w:t xml:space="preserve">. Therefore, NR system </w:t>
      </w:r>
      <w:r w:rsidR="001A775F">
        <w:t xml:space="preserve">operating with a 2 GHz channel </w:t>
      </w:r>
      <w:r w:rsidR="001A775F">
        <w:lastRenderedPageBreak/>
        <w:t xml:space="preserve">bandwidth and spectrum efficiency </w:t>
      </w:r>
      <w:r w:rsidR="00E844B6">
        <w:t>of approximately ~</w:t>
      </w:r>
      <w:r w:rsidR="001A775F">
        <w:t xml:space="preserve">95% of channel bandwidth </w:t>
      </w:r>
      <w:r w:rsidR="00A07A0B">
        <w:t>would still have comparable occupied bandwidth and</w:t>
      </w:r>
      <w:r w:rsidR="007541A6">
        <w:t xml:space="preserve"> result in similar LBT measurement bandwidth, which should</w:t>
      </w:r>
      <w:r w:rsidR="004A1FDB">
        <w:t xml:space="preserve"> </w:t>
      </w:r>
      <w:r w:rsidR="00A07A0B">
        <w:t>allow reasonable co-existence</w:t>
      </w:r>
      <w:r w:rsidR="007541A6">
        <w:t xml:space="preserve"> between the two systems.</w:t>
      </w:r>
      <w:r w:rsidR="00E844B6">
        <w:t xml:space="preserve"> It should be noted that NR FR2 bands in Rel-15 have typically targeted for 95% spectrum efficiency. However, the actual target spectral efficiency for </w:t>
      </w:r>
      <w:r w:rsidR="00620B2F">
        <w:t>system bandwidth to be defined in 52.6 GHz to 71 GHz has not be determined yet</w:t>
      </w:r>
      <w:r w:rsidR="00126EBE">
        <w:t>.</w:t>
      </w:r>
    </w:p>
    <w:p w14:paraId="62697127" w14:textId="77777777" w:rsidR="005B3E85" w:rsidRDefault="005B3E85" w:rsidP="00B24153"/>
    <w:p w14:paraId="261AFDBB" w14:textId="6D2F0736" w:rsidR="007541A6" w:rsidRDefault="008F3D76" w:rsidP="00B24153">
      <w:r>
        <w:t xml:space="preserve">As for the minimum bandwidth to be supported for NR operating in 60 GHz, we believe it is quite critical for NR operating in 60 GHz to have a clear differentiating factor compared to NR operating in FR1 or FR2. </w:t>
      </w:r>
      <w:r w:rsidR="00E30D81">
        <w:t xml:space="preserve">Development of </w:t>
      </w:r>
      <w:proofErr w:type="spellStart"/>
      <w:r w:rsidR="00E30D81">
        <w:t>gNB</w:t>
      </w:r>
      <w:proofErr w:type="spellEnd"/>
      <w:r w:rsidR="00E30D81">
        <w:t xml:space="preserve"> and UEs capable of operating in 60 GHz will be expense and </w:t>
      </w:r>
      <w:r w:rsidR="00380EF9">
        <w:t xml:space="preserve">vendors would need clear justification for it. </w:t>
      </w:r>
      <w:r w:rsidR="007F4D86">
        <w:t xml:space="preserve">It is quite difficult to imagine a UE or </w:t>
      </w:r>
      <w:proofErr w:type="spellStart"/>
      <w:r w:rsidR="007F4D86">
        <w:t>gNB</w:t>
      </w:r>
      <w:proofErr w:type="spellEnd"/>
      <w:r w:rsidR="007F4D86">
        <w:t xml:space="preserve"> vendor spending millions of dollars of R&amp;D to</w:t>
      </w:r>
      <w:r w:rsidR="00A005A3">
        <w:t xml:space="preserve"> support NR operati</w:t>
      </w:r>
      <w:r w:rsidR="000C0856">
        <w:t>ng with</w:t>
      </w:r>
      <w:r w:rsidR="00A005A3">
        <w:t xml:space="preserve"> 50 or 100 MHz which </w:t>
      </w:r>
      <w:r w:rsidR="000C0856">
        <w:t xml:space="preserve">is better </w:t>
      </w:r>
      <w:r w:rsidR="00A005A3">
        <w:t>supported by existing FR1 and FR2 deployments.</w:t>
      </w:r>
      <w:r w:rsidR="000C5ED6">
        <w:t xml:space="preserve"> We strongly believe NR operating in 60 GHz should focus on even larger bandwidth that cannot be supported by existing FR1 and FR2 deployment. </w:t>
      </w:r>
      <w:r w:rsidR="00380EF9">
        <w:t>Based on this, we believe the smallest channel bandwidth supported for NR operating in 60 GHz should be 400 MHz</w:t>
      </w:r>
      <w:r w:rsidR="00023625">
        <w:t xml:space="preserve"> (corresponding to the largest channel bandwidth in current FR2).</w:t>
      </w:r>
    </w:p>
    <w:p w14:paraId="403489B8" w14:textId="4690702B" w:rsidR="000C5ED6" w:rsidRDefault="000D1899" w:rsidP="00B24153">
      <w:r>
        <w:t>The following is a summary of our proposal regarding minimum and maximum channel bandwidth to be support by NR operating in 52.6 ~ 71 GHz.</w:t>
      </w:r>
    </w:p>
    <w:p w14:paraId="722C8110" w14:textId="7598185A" w:rsidR="008018CC" w:rsidRPr="00877500" w:rsidRDefault="008018CC" w:rsidP="008018CC">
      <w:pPr>
        <w:spacing w:before="240" w:after="0"/>
        <w:jc w:val="both"/>
        <w:rPr>
          <w:b/>
        </w:rPr>
      </w:pPr>
      <w:r w:rsidRPr="00877500">
        <w:rPr>
          <w:b/>
        </w:rPr>
        <w:t xml:space="preserve">Proposal </w:t>
      </w:r>
      <w:r w:rsidR="006D3939">
        <w:rPr>
          <w:b/>
        </w:rPr>
        <w:t>1</w:t>
      </w:r>
    </w:p>
    <w:p w14:paraId="3060359B" w14:textId="6DA6761B" w:rsidR="008018CC" w:rsidRPr="00B10CCE" w:rsidRDefault="008018CC" w:rsidP="00B512F9">
      <w:pPr>
        <w:pStyle w:val="ListParagraph"/>
        <w:numPr>
          <w:ilvl w:val="0"/>
          <w:numId w:val="29"/>
        </w:numPr>
        <w:rPr>
          <w:rFonts w:ascii="Times New Roman" w:hAnsi="Times New Roman"/>
          <w:sz w:val="20"/>
          <w:szCs w:val="20"/>
        </w:rPr>
      </w:pPr>
      <w:r w:rsidRPr="00B10CCE">
        <w:rPr>
          <w:rFonts w:ascii="Times New Roman" w:hAnsi="Times New Roman"/>
          <w:sz w:val="20"/>
          <w:szCs w:val="20"/>
        </w:rPr>
        <w:t>Minimum supported bandwidth of 400 MHz</w:t>
      </w:r>
      <w:r w:rsidR="000D1899">
        <w:rPr>
          <w:rFonts w:ascii="Times New Roman" w:hAnsi="Times New Roman"/>
          <w:sz w:val="20"/>
          <w:szCs w:val="20"/>
        </w:rPr>
        <w:t xml:space="preserve"> for any SCS.</w:t>
      </w:r>
    </w:p>
    <w:p w14:paraId="6712FE48" w14:textId="0EAD7B18" w:rsidR="000D1899" w:rsidRDefault="000D1899" w:rsidP="00B512F9">
      <w:pPr>
        <w:pStyle w:val="ListParagraph"/>
        <w:numPr>
          <w:ilvl w:val="0"/>
          <w:numId w:val="29"/>
        </w:numPr>
        <w:rPr>
          <w:rFonts w:ascii="Times New Roman" w:hAnsi="Times New Roman"/>
          <w:sz w:val="20"/>
          <w:szCs w:val="20"/>
        </w:rPr>
      </w:pPr>
      <w:r>
        <w:rPr>
          <w:rFonts w:ascii="Times New Roman" w:hAnsi="Times New Roman"/>
          <w:sz w:val="20"/>
          <w:szCs w:val="20"/>
        </w:rPr>
        <w:t>Maximum supported bandwidth of 1600 MHz for 480 kHz SCS.</w:t>
      </w:r>
    </w:p>
    <w:p w14:paraId="51792A7C" w14:textId="5FC131F5" w:rsidR="00F80D46" w:rsidRPr="00B10CCE" w:rsidRDefault="00F80D46" w:rsidP="00B512F9">
      <w:pPr>
        <w:pStyle w:val="ListParagraph"/>
        <w:numPr>
          <w:ilvl w:val="0"/>
          <w:numId w:val="29"/>
        </w:numPr>
        <w:rPr>
          <w:rFonts w:ascii="Times New Roman" w:hAnsi="Times New Roman"/>
          <w:sz w:val="20"/>
          <w:szCs w:val="20"/>
        </w:rPr>
      </w:pPr>
      <w:r w:rsidRPr="00B10CCE">
        <w:rPr>
          <w:rFonts w:ascii="Times New Roman" w:hAnsi="Times New Roman"/>
          <w:sz w:val="20"/>
          <w:szCs w:val="20"/>
        </w:rPr>
        <w:t>Maximum supported bandwidth of 2000 MHz</w:t>
      </w:r>
      <w:r w:rsidR="000D1899">
        <w:rPr>
          <w:rFonts w:ascii="Times New Roman" w:hAnsi="Times New Roman"/>
          <w:sz w:val="20"/>
          <w:szCs w:val="20"/>
        </w:rPr>
        <w:t xml:space="preserve"> for 960 kHz SCS.</w:t>
      </w:r>
    </w:p>
    <w:p w14:paraId="78AFF789" w14:textId="53BD72BC" w:rsidR="00F80D46" w:rsidRPr="00B10CCE" w:rsidRDefault="00F80D46" w:rsidP="00B512F9">
      <w:pPr>
        <w:pStyle w:val="ListParagraph"/>
        <w:numPr>
          <w:ilvl w:val="1"/>
          <w:numId w:val="29"/>
        </w:numPr>
        <w:rPr>
          <w:rFonts w:ascii="Times New Roman" w:hAnsi="Times New Roman"/>
          <w:sz w:val="20"/>
          <w:szCs w:val="20"/>
        </w:rPr>
      </w:pPr>
      <w:r w:rsidRPr="00B10CCE">
        <w:rPr>
          <w:rFonts w:ascii="Times New Roman" w:hAnsi="Times New Roman"/>
          <w:sz w:val="20"/>
          <w:szCs w:val="20"/>
        </w:rPr>
        <w:t>2000 MHz could be supported without changes to Tc = 1</w:t>
      </w:r>
      <w:proofErr w:type="gramStart"/>
      <w:r w:rsidRPr="00B10CCE">
        <w:rPr>
          <w:rFonts w:ascii="Times New Roman" w:hAnsi="Times New Roman"/>
          <w:sz w:val="20"/>
          <w:szCs w:val="20"/>
        </w:rPr>
        <w:t>/(</w:t>
      </w:r>
      <w:proofErr w:type="gramEnd"/>
      <w:r w:rsidRPr="00B10CCE">
        <w:rPr>
          <w:rFonts w:ascii="Times New Roman" w:hAnsi="Times New Roman"/>
          <w:sz w:val="20"/>
          <w:szCs w:val="20"/>
        </w:rPr>
        <w:t>480e3 * 40</w:t>
      </w:r>
      <w:r w:rsidR="00B512F9" w:rsidRPr="00B10CCE">
        <w:rPr>
          <w:rFonts w:ascii="Times New Roman" w:hAnsi="Times New Roman"/>
          <w:sz w:val="20"/>
          <w:szCs w:val="20"/>
        </w:rPr>
        <w:t>96) even for 960 kH</w:t>
      </w:r>
      <w:r w:rsidR="00B24153" w:rsidRPr="00B10CCE">
        <w:rPr>
          <w:rFonts w:ascii="Times New Roman" w:hAnsi="Times New Roman"/>
          <w:sz w:val="20"/>
          <w:szCs w:val="20"/>
        </w:rPr>
        <w:t>z.</w:t>
      </w:r>
    </w:p>
    <w:p w14:paraId="3CA5CACA" w14:textId="3A8CF5F4" w:rsidR="00B24153" w:rsidRPr="00B10CCE" w:rsidRDefault="00BB161D" w:rsidP="00B512F9">
      <w:pPr>
        <w:pStyle w:val="ListParagraph"/>
        <w:numPr>
          <w:ilvl w:val="1"/>
          <w:numId w:val="29"/>
        </w:numPr>
        <w:rPr>
          <w:rFonts w:ascii="Times New Roman" w:hAnsi="Times New Roman"/>
          <w:sz w:val="20"/>
          <w:szCs w:val="20"/>
        </w:rPr>
      </w:pPr>
      <w:r w:rsidRPr="00B10CCE">
        <w:rPr>
          <w:rFonts w:ascii="Times New Roman" w:hAnsi="Times New Roman"/>
          <w:sz w:val="20"/>
          <w:szCs w:val="20"/>
        </w:rPr>
        <w:t xml:space="preserve">For 960kHz, </w:t>
      </w:r>
      <w:r w:rsidR="00E43BF5" w:rsidRPr="00B10CCE">
        <w:rPr>
          <w:rFonts w:ascii="Times New Roman" w:hAnsi="Times New Roman"/>
          <w:sz w:val="20"/>
          <w:szCs w:val="20"/>
        </w:rPr>
        <w:t xml:space="preserve">up to </w:t>
      </w:r>
      <w:r w:rsidR="005C2F3D" w:rsidRPr="00B10CCE">
        <w:rPr>
          <w:rFonts w:ascii="Times New Roman" w:hAnsi="Times New Roman"/>
          <w:sz w:val="20"/>
          <w:szCs w:val="20"/>
        </w:rPr>
        <w:t>170 PRB</w:t>
      </w:r>
      <w:r w:rsidRPr="00B10CCE">
        <w:rPr>
          <w:rFonts w:ascii="Times New Roman" w:hAnsi="Times New Roman"/>
          <w:sz w:val="20"/>
          <w:szCs w:val="20"/>
        </w:rPr>
        <w:t xml:space="preserve"> </w:t>
      </w:r>
      <w:r w:rsidR="00E43BF5" w:rsidRPr="00B10CCE">
        <w:rPr>
          <w:rFonts w:ascii="Times New Roman" w:hAnsi="Times New Roman"/>
          <w:sz w:val="20"/>
          <w:szCs w:val="20"/>
        </w:rPr>
        <w:t xml:space="preserve">can be supported without changing Tc. This </w:t>
      </w:r>
      <w:r w:rsidRPr="00B10CCE">
        <w:rPr>
          <w:rFonts w:ascii="Times New Roman" w:hAnsi="Times New Roman"/>
          <w:sz w:val="20"/>
          <w:szCs w:val="20"/>
        </w:rPr>
        <w:t>result</w:t>
      </w:r>
      <w:r w:rsidR="00E43BF5" w:rsidRPr="00B10CCE">
        <w:rPr>
          <w:rFonts w:ascii="Times New Roman" w:hAnsi="Times New Roman"/>
          <w:sz w:val="20"/>
          <w:szCs w:val="20"/>
        </w:rPr>
        <w:t>s</w:t>
      </w:r>
      <w:r w:rsidR="00F5121F" w:rsidRPr="00B10CCE">
        <w:rPr>
          <w:rFonts w:ascii="Times New Roman" w:hAnsi="Times New Roman"/>
          <w:sz w:val="20"/>
          <w:szCs w:val="20"/>
        </w:rPr>
        <w:t xml:space="preserve"> 1.9584 GHz which should be sufficiently large enough</w:t>
      </w:r>
      <w:r w:rsidR="00E43BF5" w:rsidRPr="00B10CCE">
        <w:rPr>
          <w:rFonts w:ascii="Times New Roman" w:hAnsi="Times New Roman"/>
          <w:sz w:val="20"/>
          <w:szCs w:val="20"/>
        </w:rPr>
        <w:t xml:space="preserve"> occupied bandwidth for 2GHz channel. Most likely the actual occupied channel </w:t>
      </w:r>
      <w:r w:rsidR="00D83DE1" w:rsidRPr="00B10CCE">
        <w:rPr>
          <w:rFonts w:ascii="Times New Roman" w:hAnsi="Times New Roman"/>
          <w:sz w:val="20"/>
          <w:szCs w:val="20"/>
        </w:rPr>
        <w:t xml:space="preserve">defined by RAN4 </w:t>
      </w:r>
      <w:r w:rsidR="00E43BF5" w:rsidRPr="00B10CCE">
        <w:rPr>
          <w:rFonts w:ascii="Times New Roman" w:hAnsi="Times New Roman"/>
          <w:sz w:val="20"/>
          <w:szCs w:val="20"/>
        </w:rPr>
        <w:t>will be smaller than 170 PRB</w:t>
      </w:r>
      <w:r w:rsidR="00D83DE1" w:rsidRPr="00B10CCE">
        <w:rPr>
          <w:rFonts w:ascii="Times New Roman" w:hAnsi="Times New Roman"/>
          <w:sz w:val="20"/>
          <w:szCs w:val="20"/>
        </w:rPr>
        <w:t>.</w:t>
      </w:r>
    </w:p>
    <w:p w14:paraId="3D89D5B9" w14:textId="2917FECC" w:rsidR="002A710C" w:rsidRPr="00B10CCE" w:rsidRDefault="00E8084E" w:rsidP="002A710C">
      <w:pPr>
        <w:pStyle w:val="ListParagraph"/>
        <w:numPr>
          <w:ilvl w:val="0"/>
          <w:numId w:val="29"/>
        </w:numPr>
        <w:rPr>
          <w:rFonts w:ascii="Times New Roman" w:hAnsi="Times New Roman"/>
          <w:sz w:val="20"/>
          <w:szCs w:val="20"/>
        </w:rPr>
      </w:pPr>
      <w:r w:rsidRPr="00B10CCE">
        <w:rPr>
          <w:rFonts w:ascii="Times New Roman" w:hAnsi="Times New Roman"/>
          <w:sz w:val="20"/>
          <w:szCs w:val="20"/>
        </w:rPr>
        <w:t xml:space="preserve">The </w:t>
      </w:r>
      <w:r w:rsidR="002A710C" w:rsidRPr="00B10CCE">
        <w:rPr>
          <w:rFonts w:ascii="Times New Roman" w:hAnsi="Times New Roman"/>
          <w:sz w:val="20"/>
          <w:szCs w:val="20"/>
        </w:rPr>
        <w:t xml:space="preserve">maximum number of PRB </w:t>
      </w:r>
      <w:r w:rsidRPr="00B10CCE">
        <w:rPr>
          <w:rFonts w:ascii="Times New Roman" w:hAnsi="Times New Roman"/>
          <w:sz w:val="20"/>
          <w:szCs w:val="20"/>
        </w:rPr>
        <w:t xml:space="preserve">that RAN1 considers for 480kHz is </w:t>
      </w:r>
      <w:r w:rsidR="002A710C" w:rsidRPr="00B10CCE">
        <w:rPr>
          <w:rFonts w:ascii="Times New Roman" w:hAnsi="Times New Roman"/>
          <w:sz w:val="20"/>
          <w:szCs w:val="20"/>
        </w:rPr>
        <w:t>275</w:t>
      </w:r>
      <w:r w:rsidRPr="00B10CCE">
        <w:rPr>
          <w:rFonts w:ascii="Times New Roman" w:hAnsi="Times New Roman"/>
          <w:sz w:val="20"/>
          <w:szCs w:val="20"/>
        </w:rPr>
        <w:t xml:space="preserve">, and 960kHz is 170. Up to RAN4 to define the exact PRB sizes for each channel </w:t>
      </w:r>
      <w:r w:rsidR="00407828" w:rsidRPr="00B10CCE">
        <w:rPr>
          <w:rFonts w:ascii="Times New Roman" w:hAnsi="Times New Roman"/>
          <w:sz w:val="20"/>
          <w:szCs w:val="20"/>
        </w:rPr>
        <w:t>bandwidth</w:t>
      </w:r>
      <w:r w:rsidR="00414B86">
        <w:rPr>
          <w:rFonts w:ascii="Times New Roman" w:hAnsi="Times New Roman"/>
          <w:sz w:val="20"/>
          <w:szCs w:val="20"/>
        </w:rPr>
        <w:t>.</w:t>
      </w:r>
    </w:p>
    <w:p w14:paraId="35D3FBD0" w14:textId="77777777" w:rsidR="00407828" w:rsidRPr="00E8503D" w:rsidRDefault="00407828" w:rsidP="00E8503D"/>
    <w:p w14:paraId="738348E6" w14:textId="5A2958CB" w:rsidR="00AE6557" w:rsidRDefault="00AD39F1" w:rsidP="004F2AF8">
      <w:pPr>
        <w:pStyle w:val="Heading2"/>
      </w:pPr>
      <w:r>
        <w:t>M</w:t>
      </w:r>
      <w:r w:rsidR="00E40F68">
        <w:t>ulti-TTI scheduling for PDSCH and PUSCH</w:t>
      </w:r>
    </w:p>
    <w:p w14:paraId="28788428" w14:textId="77777777" w:rsidR="00A21066" w:rsidRDefault="00A21066" w:rsidP="00A21066">
      <w:pPr>
        <w:spacing w:after="120"/>
        <w:jc w:val="both"/>
        <w:rPr>
          <w:rFonts w:eastAsia="Times New Roman"/>
          <w:lang w:val="en-GB" w:eastAsia="zh-CN"/>
        </w:rPr>
      </w:pPr>
      <w:r w:rsidRPr="001A0A94">
        <w:rPr>
          <w:rFonts w:eastAsia="Times New Roman"/>
          <w:lang w:val="en-GB" w:eastAsia="zh-CN"/>
        </w:rPr>
        <w:t xml:space="preserve">For system operating between 52.6GHz and 71GHz carrier frequency, when a large subcarrier spacing, e.g., </w:t>
      </w:r>
      <w:r>
        <w:rPr>
          <w:rFonts w:eastAsia="Times New Roman"/>
          <w:lang w:val="en-GB" w:eastAsia="zh-CN"/>
        </w:rPr>
        <w:t xml:space="preserve">480kHz or </w:t>
      </w:r>
      <w:r w:rsidRPr="001A0A94">
        <w:rPr>
          <w:rFonts w:eastAsia="Times New Roman"/>
          <w:lang w:val="en-GB" w:eastAsia="zh-CN"/>
        </w:rPr>
        <w:t xml:space="preserve">960kHz is used, symbol and slot duration is very short, which may pose certain constraint for scheduler implementation. To alleviate scheduler constraint and relax higher layer processing burden, it is more desirable to consider a prolonged scheduling unit. More specifically, multi-TTI based scheduling can be employed, where one PDCCH can be used to schedule multiple PDSCHs or PUSCH carrying independent TBs. </w:t>
      </w:r>
      <w:r>
        <w:rPr>
          <w:rFonts w:eastAsia="Times New Roman"/>
          <w:lang w:val="en-GB" w:eastAsia="zh-CN"/>
        </w:rPr>
        <w:t>B</w:t>
      </w:r>
      <w:r w:rsidRPr="001A0A94">
        <w:rPr>
          <w:rFonts w:eastAsia="Times New Roman"/>
          <w:lang w:val="en-GB" w:eastAsia="zh-CN"/>
        </w:rPr>
        <w:t>ased on this mechanism, scheduler implementation and higher layer processing burdened can be relaxed, while maintaining same peak data rate.</w:t>
      </w:r>
    </w:p>
    <w:p w14:paraId="3272B79E" w14:textId="77777777" w:rsidR="00A21066" w:rsidRDefault="00A21066" w:rsidP="00A21066">
      <w:pPr>
        <w:spacing w:after="120"/>
        <w:jc w:val="both"/>
        <w:rPr>
          <w:rFonts w:eastAsia="Times New Roman"/>
          <w:lang w:val="en-GB" w:eastAsia="zh-CN"/>
        </w:rPr>
      </w:pPr>
      <w:r>
        <w:rPr>
          <w:lang w:eastAsia="zh-CN"/>
        </w:rPr>
        <w:t xml:space="preserve">In Rel-16, multi-PUSCH based scheduling was defined to allocate consecutive PUSCH transmissions </w:t>
      </w:r>
      <w:proofErr w:type="gramStart"/>
      <w:r>
        <w:rPr>
          <w:lang w:eastAsia="zh-CN"/>
        </w:rPr>
        <w:t>so as to</w:t>
      </w:r>
      <w:proofErr w:type="gramEnd"/>
      <w:r>
        <w:rPr>
          <w:lang w:eastAsia="zh-CN"/>
        </w:rPr>
        <w:t xml:space="preserve"> avoid unnecessary LBT for NR-U. For </w:t>
      </w:r>
      <w:r w:rsidRPr="001A0A94">
        <w:rPr>
          <w:rFonts w:eastAsia="Times New Roman"/>
          <w:lang w:val="en-GB" w:eastAsia="zh-CN"/>
        </w:rPr>
        <w:t>system operating between 52.6GHz and 71GHz carrier frequency</w:t>
      </w:r>
      <w:r>
        <w:rPr>
          <w:rFonts w:eastAsia="Times New Roman"/>
          <w:lang w:val="en-GB" w:eastAsia="zh-CN"/>
        </w:rPr>
        <w:t xml:space="preserve">, similar mechanism can be considered as baseline for multi-PUSCH scheduling. </w:t>
      </w:r>
    </w:p>
    <w:p w14:paraId="75FAEE01" w14:textId="74943E46" w:rsidR="00A21066" w:rsidRDefault="00A21066" w:rsidP="00A21066">
      <w:pPr>
        <w:spacing w:after="240"/>
        <w:jc w:val="both"/>
        <w:rPr>
          <w:lang w:eastAsia="zh-CN"/>
        </w:rPr>
      </w:pPr>
      <w:r>
        <w:rPr>
          <w:rFonts w:eastAsia="Times New Roman"/>
          <w:lang w:val="en-GB" w:eastAsia="zh-CN"/>
        </w:rPr>
        <w:t xml:space="preserve">For multi-PDSCH scheduling, it may be desirable to support both TB based and CBG based transmission for scheduled PDSCHs. To avoid excessive HARQ-ACK feedback bits for multi-PDSCH scheduling, number of PDSCHs scheduled by a single DCI can be limited. Following the similar design principle as multi-PUSCH scheduling, maximum number of PDSCHs for TB based scheduling can be limited to 8, while for CBG based scheduling, maximum number of PDSCHs can be 2. For the latter case, the </w:t>
      </w:r>
      <w:r w:rsidR="00942331">
        <w:rPr>
          <w:rFonts w:eastAsia="Times New Roman"/>
          <w:lang w:val="en-GB" w:eastAsia="zh-CN"/>
        </w:rPr>
        <w:t xml:space="preserve">configured </w:t>
      </w:r>
      <w:r>
        <w:rPr>
          <w:rFonts w:eastAsia="Times New Roman"/>
          <w:lang w:val="en-GB" w:eastAsia="zh-CN"/>
        </w:rPr>
        <w:t xml:space="preserve">number of CBGs for a PDSCH can be </w:t>
      </w:r>
      <w:r w:rsidR="00942331">
        <w:rPr>
          <w:rFonts w:eastAsia="Times New Roman"/>
          <w:lang w:val="en-GB" w:eastAsia="zh-CN"/>
        </w:rPr>
        <w:t>up to</w:t>
      </w:r>
      <w:r>
        <w:rPr>
          <w:rFonts w:eastAsia="Times New Roman"/>
          <w:lang w:val="en-GB" w:eastAsia="zh-CN"/>
        </w:rPr>
        <w:t xml:space="preserve"> 4. </w:t>
      </w:r>
    </w:p>
    <w:p w14:paraId="368992C0" w14:textId="654B507A" w:rsidR="00A21066" w:rsidRPr="00877500" w:rsidRDefault="00A21066" w:rsidP="00A21066">
      <w:pPr>
        <w:spacing w:before="240" w:after="0"/>
        <w:jc w:val="both"/>
        <w:rPr>
          <w:b/>
        </w:rPr>
      </w:pPr>
      <w:r w:rsidRPr="00877500">
        <w:rPr>
          <w:b/>
        </w:rPr>
        <w:t xml:space="preserve">Proposal </w:t>
      </w:r>
      <w:r w:rsidR="006D3939">
        <w:rPr>
          <w:b/>
        </w:rPr>
        <w:t>2</w:t>
      </w:r>
    </w:p>
    <w:p w14:paraId="56CFA94A" w14:textId="77777777" w:rsidR="00A21066" w:rsidRPr="006D3939" w:rsidRDefault="00A21066" w:rsidP="006D3939">
      <w:pPr>
        <w:pStyle w:val="ListParagraph"/>
        <w:numPr>
          <w:ilvl w:val="0"/>
          <w:numId w:val="29"/>
        </w:numPr>
        <w:rPr>
          <w:rFonts w:ascii="Times New Roman" w:hAnsi="Times New Roman"/>
          <w:sz w:val="20"/>
          <w:szCs w:val="20"/>
        </w:rPr>
      </w:pPr>
      <w:r w:rsidRPr="006D3939">
        <w:rPr>
          <w:rFonts w:ascii="Times New Roman" w:hAnsi="Times New Roman"/>
          <w:sz w:val="20"/>
          <w:szCs w:val="20"/>
        </w:rPr>
        <w:t>Multi-PUSCH scheduling as defined for NR-U can be considered as baseline for multi-PUSCH scheduling.</w:t>
      </w:r>
    </w:p>
    <w:p w14:paraId="779E580B" w14:textId="77777777" w:rsidR="00A21066" w:rsidRPr="006D3939" w:rsidRDefault="00A21066" w:rsidP="006D3939">
      <w:pPr>
        <w:pStyle w:val="ListParagraph"/>
        <w:numPr>
          <w:ilvl w:val="0"/>
          <w:numId w:val="29"/>
        </w:numPr>
        <w:rPr>
          <w:rFonts w:ascii="Times New Roman" w:hAnsi="Times New Roman"/>
          <w:sz w:val="20"/>
          <w:szCs w:val="20"/>
        </w:rPr>
      </w:pPr>
      <w:r w:rsidRPr="006D3939">
        <w:rPr>
          <w:rFonts w:ascii="Times New Roman" w:hAnsi="Times New Roman"/>
          <w:sz w:val="20"/>
          <w:szCs w:val="20"/>
        </w:rPr>
        <w:t xml:space="preserve">For multi-PDSCH scheduling, </w:t>
      </w:r>
    </w:p>
    <w:p w14:paraId="10A487DF" w14:textId="77777777" w:rsidR="00A21066" w:rsidRPr="00CD592F" w:rsidRDefault="00A21066"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Supported both TB and CBG based scheduling.</w:t>
      </w:r>
    </w:p>
    <w:p w14:paraId="12FD42D1" w14:textId="77777777" w:rsidR="00833512" w:rsidRPr="00CD592F" w:rsidRDefault="00833512"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Maximum number of PDSCHs for TB based scheduling is 8</w:t>
      </w:r>
    </w:p>
    <w:p w14:paraId="18F9065F" w14:textId="77777777" w:rsidR="00FA3768" w:rsidRPr="00CD592F" w:rsidRDefault="00833512"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Maximum number of PDSCHs for CBG based scheduling is 2.</w:t>
      </w:r>
    </w:p>
    <w:p w14:paraId="24763811" w14:textId="77777777" w:rsidR="00C208E4" w:rsidRDefault="00C208E4" w:rsidP="00C208E4">
      <w:pPr>
        <w:overflowPunct/>
        <w:autoSpaceDE/>
        <w:autoSpaceDN/>
        <w:adjustRightInd/>
        <w:spacing w:before="60" w:after="0"/>
        <w:jc w:val="both"/>
        <w:textAlignment w:val="auto"/>
        <w:rPr>
          <w:iCs/>
        </w:rPr>
      </w:pPr>
    </w:p>
    <w:p w14:paraId="66519793" w14:textId="4DEFD384" w:rsidR="00A21066" w:rsidRDefault="00A21066" w:rsidP="00A21066">
      <w:pPr>
        <w:overflowPunct/>
        <w:autoSpaceDE/>
        <w:autoSpaceDN/>
        <w:adjustRightInd/>
        <w:spacing w:before="60" w:after="120"/>
        <w:jc w:val="both"/>
        <w:textAlignment w:val="auto"/>
        <w:rPr>
          <w:iCs/>
        </w:rPr>
      </w:pPr>
      <w:r>
        <w:rPr>
          <w:iCs/>
        </w:rPr>
        <w:lastRenderedPageBreak/>
        <w:t xml:space="preserve">For time domain resource allocation of multiple PDSCHs, </w:t>
      </w:r>
      <w:r w:rsidRPr="00BB0634">
        <w:rPr>
          <w:iCs/>
        </w:rPr>
        <w:t xml:space="preserve">separate starting symbol and length of symbols for each </w:t>
      </w:r>
      <w:r w:rsidR="00D85C80">
        <w:rPr>
          <w:iCs/>
        </w:rPr>
        <w:t xml:space="preserve">PDSCH </w:t>
      </w:r>
      <w:r>
        <w:rPr>
          <w:iCs/>
        </w:rPr>
        <w:t xml:space="preserve">can be configured </w:t>
      </w:r>
      <w:r w:rsidR="00207B57">
        <w:rPr>
          <w:iCs/>
        </w:rPr>
        <w:t>for each entry</w:t>
      </w:r>
      <w:r>
        <w:rPr>
          <w:iCs/>
        </w:rPr>
        <w:t xml:space="preserve"> of TDRA, which can provide maximal flexibility on PDSCH scheduling. This can also enable dynamic switching between single-PDSCH and multi-PDSCH scheduling. For instance, when single SLIV is configured in one entry of TDRA, gNB may indicate this TDRA to schedule single </w:t>
      </w:r>
      <w:r w:rsidR="00861754">
        <w:rPr>
          <w:iCs/>
        </w:rPr>
        <w:t xml:space="preserve">PDSCH </w:t>
      </w:r>
      <w:r>
        <w:rPr>
          <w:iCs/>
        </w:rPr>
        <w:t xml:space="preserve">transmission.  </w:t>
      </w:r>
    </w:p>
    <w:p w14:paraId="6330D378" w14:textId="6A5A6D51" w:rsidR="00A21066" w:rsidRDefault="00A21066" w:rsidP="00A21066">
      <w:pPr>
        <w:overflowPunct/>
        <w:autoSpaceDE/>
        <w:autoSpaceDN/>
        <w:adjustRightInd/>
        <w:spacing w:before="60" w:after="0"/>
        <w:jc w:val="both"/>
        <w:textAlignment w:val="auto"/>
        <w:rPr>
          <w:rFonts w:eastAsia="Times New Roman"/>
          <w:lang w:val="en-GB" w:eastAsia="zh-CN"/>
        </w:rPr>
      </w:pPr>
      <w:r>
        <w:rPr>
          <w:iCs/>
        </w:rPr>
        <w:t xml:space="preserve">Note that depending on the configuration and scheduling decision, multiple PDSCHs may be allocated in non-consecutive manner. In this case, gNB may schedule other DL transmission for different UEs between multiple PDSCHs, which can help in addressing blocking issues. Note that number of PDSCHs for multi-PDSCH scheduling can be implicitly derived based on the number of indicated SLIVs in TDRA, which can help reduce signalling overhead. </w:t>
      </w:r>
      <w:r w:rsidRPr="001A0A94">
        <w:rPr>
          <w:rFonts w:eastAsia="Times New Roman"/>
          <w:lang w:val="en-GB" w:eastAsia="zh-CN"/>
        </w:rPr>
        <w:fldChar w:fldCharType="begin"/>
      </w:r>
      <w:r w:rsidRPr="001A0A94">
        <w:rPr>
          <w:rFonts w:eastAsia="Times New Roman"/>
          <w:lang w:val="en-GB" w:eastAsia="zh-CN"/>
        </w:rPr>
        <w:instrText xml:space="preserve"> REF _Ref47008112 \h  \* MERGEFORMAT </w:instrText>
      </w:r>
      <w:r w:rsidRPr="001A0A94">
        <w:rPr>
          <w:rFonts w:eastAsia="Times New Roman"/>
          <w:lang w:val="en-GB" w:eastAsia="zh-CN"/>
        </w:rPr>
      </w:r>
      <w:r w:rsidRPr="001A0A94">
        <w:rPr>
          <w:rFonts w:eastAsia="Times New Roman"/>
          <w:lang w:val="en-GB" w:eastAsia="zh-CN"/>
        </w:rPr>
        <w:fldChar w:fldCharType="separate"/>
      </w:r>
      <w:r w:rsidR="00B10CCE" w:rsidRPr="00B10CCE">
        <w:rPr>
          <w:rFonts w:eastAsia="Times New Roman"/>
        </w:rPr>
        <w:t xml:space="preserve">Figure </w:t>
      </w:r>
      <w:r w:rsidR="00B10CCE" w:rsidRPr="00B10CCE">
        <w:rPr>
          <w:rFonts w:eastAsia="Times New Roman"/>
          <w:noProof/>
        </w:rPr>
        <w:t>1</w:t>
      </w:r>
      <w:r w:rsidRPr="001A0A94">
        <w:rPr>
          <w:rFonts w:eastAsia="Times New Roman"/>
          <w:lang w:val="en-GB" w:eastAsia="zh-CN"/>
        </w:rPr>
        <w:fldChar w:fldCharType="end"/>
      </w:r>
      <w:r w:rsidRPr="001A0A94">
        <w:rPr>
          <w:rFonts w:eastAsia="Times New Roman"/>
          <w:lang w:val="en-GB" w:eastAsia="zh-CN"/>
        </w:rPr>
        <w:t xml:space="preserve"> illustrates the multiple-TTI based scheduling for downlink data transmission. </w:t>
      </w:r>
      <w:r>
        <w:rPr>
          <w:rFonts w:eastAsia="Times New Roman"/>
          <w:lang w:val="en-GB" w:eastAsia="zh-CN"/>
        </w:rPr>
        <w:t xml:space="preserve">In the figure, different SLIVs are assigned for different PDSCHs. </w:t>
      </w:r>
    </w:p>
    <w:p w14:paraId="632D801A" w14:textId="77777777" w:rsidR="00A21066" w:rsidRPr="001A0A94" w:rsidRDefault="00A21066" w:rsidP="00A21066">
      <w:pPr>
        <w:spacing w:after="120"/>
        <w:jc w:val="both"/>
        <w:rPr>
          <w:rFonts w:eastAsia="Times New Roman"/>
          <w:lang w:val="en-GB" w:eastAsia="zh-CN"/>
        </w:rPr>
      </w:pPr>
    </w:p>
    <w:p w14:paraId="639859A8" w14:textId="77777777" w:rsidR="00A21066" w:rsidRPr="001A0A94" w:rsidRDefault="00A21066" w:rsidP="00A21066">
      <w:pPr>
        <w:keepNext/>
        <w:spacing w:after="120"/>
        <w:jc w:val="center"/>
        <w:rPr>
          <w:rFonts w:eastAsia="Times New Roman"/>
          <w:sz w:val="22"/>
        </w:rPr>
      </w:pPr>
      <w:r w:rsidRPr="00266588">
        <w:rPr>
          <w:rFonts w:eastAsia="Times New Roman"/>
          <w:noProof/>
          <w:sz w:val="22"/>
        </w:rPr>
        <w:drawing>
          <wp:inline distT="0" distB="0" distL="0" distR="0" wp14:anchorId="4EB7F261" wp14:editId="01DA485C">
            <wp:extent cx="4449140" cy="1577187"/>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91046" cy="1592043"/>
                    </a:xfrm>
                    <a:prstGeom prst="rect">
                      <a:avLst/>
                    </a:prstGeom>
                  </pic:spPr>
                </pic:pic>
              </a:graphicData>
            </a:graphic>
          </wp:inline>
        </w:drawing>
      </w:r>
    </w:p>
    <w:p w14:paraId="66B477AB" w14:textId="1B604889" w:rsidR="00A21066" w:rsidRPr="001A0A94" w:rsidRDefault="00A21066" w:rsidP="00A21066">
      <w:pPr>
        <w:spacing w:before="120" w:after="240"/>
        <w:jc w:val="center"/>
        <w:rPr>
          <w:b/>
          <w:bCs/>
          <w:lang w:val="en-GB" w:eastAsia="zh-CN"/>
        </w:rPr>
      </w:pPr>
      <w:bookmarkStart w:id="9" w:name="_Ref47008112"/>
      <w:r w:rsidRPr="001A0A94">
        <w:rPr>
          <w:b/>
          <w:bCs/>
        </w:rPr>
        <w:t xml:space="preserve">Figure </w:t>
      </w:r>
      <w:r w:rsidRPr="001A0A94">
        <w:rPr>
          <w:b/>
          <w:bCs/>
        </w:rPr>
        <w:fldChar w:fldCharType="begin"/>
      </w:r>
      <w:r w:rsidRPr="001A0A94">
        <w:rPr>
          <w:b/>
          <w:bCs/>
        </w:rPr>
        <w:instrText xml:space="preserve"> SEQ Figure \* ARABIC </w:instrText>
      </w:r>
      <w:r w:rsidRPr="001A0A94">
        <w:rPr>
          <w:b/>
          <w:bCs/>
        </w:rPr>
        <w:fldChar w:fldCharType="separate"/>
      </w:r>
      <w:r w:rsidR="00B10CCE">
        <w:rPr>
          <w:b/>
          <w:bCs/>
          <w:noProof/>
        </w:rPr>
        <w:t>1</w:t>
      </w:r>
      <w:r w:rsidRPr="001A0A94">
        <w:rPr>
          <w:b/>
          <w:bCs/>
          <w:noProof/>
        </w:rPr>
        <w:fldChar w:fldCharType="end"/>
      </w:r>
      <w:bookmarkEnd w:id="9"/>
      <w:r w:rsidRPr="001A0A94">
        <w:rPr>
          <w:b/>
          <w:bCs/>
        </w:rPr>
        <w:t xml:space="preserve">. </w:t>
      </w:r>
      <w:r>
        <w:rPr>
          <w:b/>
          <w:bCs/>
        </w:rPr>
        <w:t>Time domain resource allocation for m</w:t>
      </w:r>
      <w:r w:rsidRPr="001A0A94">
        <w:rPr>
          <w:b/>
          <w:bCs/>
        </w:rPr>
        <w:t>ulti-</w:t>
      </w:r>
      <w:r>
        <w:rPr>
          <w:b/>
          <w:bCs/>
        </w:rPr>
        <w:t>PDSCH</w:t>
      </w:r>
      <w:r w:rsidRPr="001A0A94">
        <w:rPr>
          <w:b/>
          <w:bCs/>
        </w:rPr>
        <w:t xml:space="preserve"> scheduling</w:t>
      </w:r>
    </w:p>
    <w:p w14:paraId="345FBBB4" w14:textId="77777777" w:rsidR="00A21066" w:rsidRDefault="00A21066" w:rsidP="00A21066">
      <w:pPr>
        <w:spacing w:before="240" w:after="0"/>
        <w:jc w:val="both"/>
        <w:rPr>
          <w:iCs/>
        </w:rPr>
      </w:pPr>
      <w:r>
        <w:rPr>
          <w:iCs/>
        </w:rPr>
        <w:t xml:space="preserve">To reduce DCI size for multi-PDSCH scheduling, some fields in the DCI can be commonly applied for the transmission of scheduled PDSCHs. For instance, same carrier indicator, BWP indicator, frequency domain resource allocation, MCS, DMRS configuration including antenna port, DMRS sequence initialization, etc., can be applied for all the scheduled PDSCHs. </w:t>
      </w:r>
    </w:p>
    <w:p w14:paraId="57B0C766" w14:textId="6A57D989" w:rsidR="00A21066" w:rsidRDefault="00A21066" w:rsidP="00A21066">
      <w:pPr>
        <w:spacing w:before="120" w:after="0"/>
        <w:jc w:val="both"/>
        <w:rPr>
          <w:iCs/>
        </w:rPr>
      </w:pPr>
      <w:r>
        <w:rPr>
          <w:iCs/>
        </w:rPr>
        <w:t xml:space="preserve">Further, a bitmap can be considered for the indication of NDI and RV for different PDSCHs, where the bitmap size can be determined based on the </w:t>
      </w:r>
      <w:r w:rsidR="005B2299">
        <w:rPr>
          <w:iCs/>
        </w:rPr>
        <w:t xml:space="preserve">maximum </w:t>
      </w:r>
      <w:r>
        <w:rPr>
          <w:iCs/>
        </w:rPr>
        <w:t>number of scheduled PDSCHs</w:t>
      </w:r>
      <w:r w:rsidR="005B2299">
        <w:rPr>
          <w:iCs/>
        </w:rPr>
        <w:t xml:space="preserve"> among all entries of </w:t>
      </w:r>
      <w:r w:rsidR="00943306">
        <w:rPr>
          <w:iCs/>
        </w:rPr>
        <w:t>TDRA</w:t>
      </w:r>
      <w:r>
        <w:rPr>
          <w:iCs/>
        </w:rPr>
        <w:t xml:space="preserve">. In order to indicate the HARQ process ID for the scheduled PDSCHs, similar mechanism as defined for multi-PUSCH scheduling can be reused, i.e., HARQ process ID for </w:t>
      </w:r>
      <w:r w:rsidR="00BE209E">
        <w:rPr>
          <w:iCs/>
        </w:rPr>
        <w:t xml:space="preserve">the first </w:t>
      </w:r>
      <w:r>
        <w:rPr>
          <w:iCs/>
        </w:rPr>
        <w:t xml:space="preserve">PDSCH is based on the indicated HARQ process ID in the DCI for multi-PDSCH scheduling and incremented by 1 for subsequent PDSCHs.  </w:t>
      </w:r>
    </w:p>
    <w:p w14:paraId="33DE7A2F" w14:textId="77777777" w:rsidR="00A21066" w:rsidRDefault="00A21066" w:rsidP="00A21066">
      <w:pPr>
        <w:spacing w:before="120" w:after="0"/>
        <w:jc w:val="both"/>
        <w:rPr>
          <w:iCs/>
        </w:rPr>
      </w:pPr>
      <w:r>
        <w:rPr>
          <w:iCs/>
        </w:rPr>
        <w:t xml:space="preserve">For PUCCH carrying HARQ-ACK feedback, single TPC command, PUCCH resource indicator and </w:t>
      </w:r>
      <w:r w:rsidRPr="00BD53B3">
        <w:rPr>
          <w:iCs/>
        </w:rPr>
        <w:t>PDSCH-to-HARQ_feedback timing indicator</w:t>
      </w:r>
      <w:r>
        <w:rPr>
          <w:iCs/>
        </w:rPr>
        <w:t xml:space="preserve"> can be included in the DCI for multi-PDSCH scheduling. In particular, </w:t>
      </w:r>
      <w:r w:rsidRPr="008A0EE7">
        <w:rPr>
          <w:iCs/>
        </w:rPr>
        <w:t>PDSCH-to-HARQ_feedback timing indicator is used to indicate the slot offset between the last scheduled PDSCH and PUCCH.</w:t>
      </w:r>
    </w:p>
    <w:p w14:paraId="790226A7" w14:textId="474139AE" w:rsidR="007F6A18" w:rsidRPr="00877500" w:rsidRDefault="00E40F68" w:rsidP="00877500">
      <w:pPr>
        <w:spacing w:before="240" w:after="0"/>
        <w:jc w:val="both"/>
        <w:rPr>
          <w:b/>
        </w:rPr>
      </w:pPr>
      <w:r w:rsidRPr="00877500">
        <w:rPr>
          <w:b/>
        </w:rPr>
        <w:t xml:space="preserve">Proposal </w:t>
      </w:r>
      <w:r w:rsidR="00AE2821">
        <w:rPr>
          <w:b/>
        </w:rPr>
        <w:t>3</w:t>
      </w:r>
    </w:p>
    <w:p w14:paraId="6291BCBE" w14:textId="77777777" w:rsidR="002A4028" w:rsidRPr="006D3939" w:rsidRDefault="002A4028" w:rsidP="006D3939">
      <w:pPr>
        <w:pStyle w:val="ListParagraph"/>
        <w:numPr>
          <w:ilvl w:val="0"/>
          <w:numId w:val="29"/>
        </w:numPr>
        <w:rPr>
          <w:rFonts w:ascii="Times New Roman" w:hAnsi="Times New Roman"/>
          <w:sz w:val="20"/>
          <w:szCs w:val="20"/>
        </w:rPr>
      </w:pPr>
      <w:r w:rsidRPr="006D3939">
        <w:rPr>
          <w:rFonts w:ascii="Times New Roman" w:hAnsi="Times New Roman"/>
          <w:sz w:val="20"/>
          <w:szCs w:val="20"/>
        </w:rPr>
        <w:t xml:space="preserve">For multi-PDSCH scheduling </w:t>
      </w:r>
    </w:p>
    <w:p w14:paraId="0C02AA68" w14:textId="77777777" w:rsidR="002A4028" w:rsidRPr="00CD592F" w:rsidRDefault="002A4028"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Separate SLIVs are configured for each PDSCH as part of TDRA configuration. Number of PDSCHs is determined based on the number of SLIVs.</w:t>
      </w:r>
    </w:p>
    <w:p w14:paraId="5D50020A" w14:textId="77777777" w:rsidR="00A21066" w:rsidRPr="00CD592F" w:rsidRDefault="00A21066"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Carrier indicator, BWP indicator, frequency domain resource allocation, MCS, DMRS configuration including antenna port, DMRS sequence initialization, etc., can be applied for all the scheduled PDSCHs.</w:t>
      </w:r>
    </w:p>
    <w:p w14:paraId="616B248E" w14:textId="2C4EAB0B" w:rsidR="002A4028" w:rsidRPr="00CD592F" w:rsidRDefault="002A4028"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 xml:space="preserve">HARQ process ID for </w:t>
      </w:r>
      <w:r w:rsidR="000C34FD">
        <w:rPr>
          <w:rFonts w:ascii="Times New Roman" w:hAnsi="Times New Roman"/>
          <w:sz w:val="20"/>
          <w:szCs w:val="20"/>
        </w:rPr>
        <w:t>the first</w:t>
      </w:r>
      <w:r w:rsidR="000C34FD" w:rsidRPr="00CD592F">
        <w:rPr>
          <w:rFonts w:ascii="Times New Roman" w:hAnsi="Times New Roman"/>
          <w:sz w:val="20"/>
          <w:szCs w:val="20"/>
        </w:rPr>
        <w:t xml:space="preserve"> </w:t>
      </w:r>
      <w:r w:rsidRPr="00CD592F">
        <w:rPr>
          <w:rFonts w:ascii="Times New Roman" w:hAnsi="Times New Roman"/>
          <w:sz w:val="20"/>
          <w:szCs w:val="20"/>
        </w:rPr>
        <w:t xml:space="preserve">PDSCH is based on the indicated HARQ process ID in the DCI and increased by 1 for subsequent PDSCHs. </w:t>
      </w:r>
    </w:p>
    <w:p w14:paraId="66663D24" w14:textId="77777777" w:rsidR="00A21066" w:rsidRPr="00CD592F" w:rsidRDefault="00A21066"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 xml:space="preserve">NDI and RV bitmap for each scheduled PDSCH is included in the DCI. </w:t>
      </w:r>
    </w:p>
    <w:p w14:paraId="7B447AF2" w14:textId="77777777" w:rsidR="002A4028" w:rsidRPr="00CD592F" w:rsidRDefault="002A4028"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A single PDSCH-to-</w:t>
      </w:r>
      <w:proofErr w:type="spellStart"/>
      <w:r w:rsidRPr="00CD592F">
        <w:rPr>
          <w:rFonts w:ascii="Times New Roman" w:hAnsi="Times New Roman"/>
          <w:sz w:val="20"/>
          <w:szCs w:val="20"/>
        </w:rPr>
        <w:t>HARQ_feedback</w:t>
      </w:r>
      <w:proofErr w:type="spellEnd"/>
      <w:r w:rsidRPr="00CD592F">
        <w:rPr>
          <w:rFonts w:ascii="Times New Roman" w:hAnsi="Times New Roman"/>
          <w:sz w:val="20"/>
          <w:szCs w:val="20"/>
        </w:rPr>
        <w:t xml:space="preserve"> timing indicator is used to indicate the slot offset between the last scheduled PDSCH and PUCCH. </w:t>
      </w:r>
    </w:p>
    <w:p w14:paraId="0D2D9333" w14:textId="77777777" w:rsidR="00A21066" w:rsidRDefault="00A21066" w:rsidP="00A21066">
      <w:pPr>
        <w:overflowPunct/>
        <w:autoSpaceDE/>
        <w:autoSpaceDN/>
        <w:adjustRightInd/>
        <w:spacing w:before="60" w:after="0"/>
        <w:jc w:val="both"/>
        <w:textAlignment w:val="auto"/>
        <w:rPr>
          <w:i/>
        </w:rPr>
      </w:pPr>
    </w:p>
    <w:p w14:paraId="2874B39E" w14:textId="2228C8ED" w:rsidR="00A21066" w:rsidRDefault="00A21066" w:rsidP="00A21066">
      <w:pPr>
        <w:overflowPunct/>
        <w:autoSpaceDE/>
        <w:autoSpaceDN/>
        <w:adjustRightInd/>
        <w:spacing w:before="60" w:after="120"/>
        <w:jc w:val="both"/>
        <w:textAlignment w:val="auto"/>
        <w:rPr>
          <w:rFonts w:eastAsia="Times New Roman"/>
          <w:lang w:val="en-GB" w:eastAsia="zh-CN"/>
        </w:rPr>
      </w:pPr>
      <w:r w:rsidRPr="001A0A94">
        <w:rPr>
          <w:rFonts w:eastAsia="Times New Roman"/>
          <w:lang w:val="en-GB" w:eastAsia="zh-CN"/>
        </w:rPr>
        <w:t xml:space="preserve">For system operating between 52.6GHz and 71GHz carrier frequency, when </w:t>
      </w:r>
      <w:r>
        <w:rPr>
          <w:rFonts w:eastAsia="Times New Roman"/>
          <w:lang w:val="en-GB" w:eastAsia="zh-CN"/>
        </w:rPr>
        <w:t xml:space="preserve">480kHz or </w:t>
      </w:r>
      <w:r w:rsidRPr="001A0A94">
        <w:rPr>
          <w:rFonts w:eastAsia="Times New Roman"/>
          <w:lang w:val="en-GB" w:eastAsia="zh-CN"/>
        </w:rPr>
        <w:t xml:space="preserve">960kHz </w:t>
      </w:r>
      <w:r>
        <w:rPr>
          <w:rFonts w:eastAsia="Times New Roman"/>
          <w:lang w:val="en-GB" w:eastAsia="zh-CN"/>
        </w:rPr>
        <w:t xml:space="preserve">subcarrier spacing </w:t>
      </w:r>
      <w:r w:rsidRPr="001A0A94">
        <w:rPr>
          <w:rFonts w:eastAsia="Times New Roman"/>
          <w:lang w:val="en-GB" w:eastAsia="zh-CN"/>
        </w:rPr>
        <w:t xml:space="preserve">is </w:t>
      </w:r>
      <w:r>
        <w:rPr>
          <w:rFonts w:eastAsia="Times New Roman"/>
          <w:lang w:val="en-GB" w:eastAsia="zh-CN"/>
        </w:rPr>
        <w:t xml:space="preserve">employed, slot or one PDSCH transmission can be very short. For instance, slot duration for 960kHz subcarrier spacing is approximately </w:t>
      </w:r>
      <w:r w:rsidRPr="00F27579">
        <w:rPr>
          <w:rFonts w:eastAsia="Times New Roman"/>
          <w:lang w:val="en-GB" w:eastAsia="zh-CN"/>
        </w:rPr>
        <w:t>15.60µs</w:t>
      </w:r>
      <w:r>
        <w:rPr>
          <w:rFonts w:eastAsia="Times New Roman"/>
          <w:lang w:val="en-GB" w:eastAsia="zh-CN"/>
        </w:rPr>
        <w:t xml:space="preserve">. This indicates that consecutive PDSCHs may very likely experience similar channel conditions. In this case, for HARQ-ACK feedback of multi-PDSCH scheduling, it may be more desirable to consider time domain bundling of HARQ-ACK feedback, which can also help in reducing the HARQ-ACK codebook size. </w:t>
      </w:r>
      <w:r w:rsidR="0003587D">
        <w:rPr>
          <w:rFonts w:eastAsia="Times New Roman"/>
          <w:lang w:val="en-GB" w:eastAsia="zh-CN"/>
        </w:rPr>
        <w:t xml:space="preserve">Since the multiple PDSCHs are scheduled by a single DCI, there is no </w:t>
      </w:r>
      <w:r w:rsidR="008A71D5">
        <w:rPr>
          <w:rFonts w:eastAsia="Times New Roman"/>
          <w:lang w:val="en-GB" w:eastAsia="zh-CN"/>
        </w:rPr>
        <w:t>confusion</w:t>
      </w:r>
      <w:r w:rsidR="00821624">
        <w:rPr>
          <w:rFonts w:eastAsia="Times New Roman"/>
          <w:lang w:val="en-GB" w:eastAsia="zh-CN"/>
        </w:rPr>
        <w:t xml:space="preserve"> on which</w:t>
      </w:r>
      <w:r w:rsidR="001D149E">
        <w:rPr>
          <w:rFonts w:eastAsia="Times New Roman"/>
          <w:lang w:val="en-GB" w:eastAsia="zh-CN"/>
        </w:rPr>
        <w:t xml:space="preserve"> HARQ-ACKs for the </w:t>
      </w:r>
      <w:r w:rsidR="00821624">
        <w:rPr>
          <w:rFonts w:eastAsia="Times New Roman"/>
          <w:lang w:val="en-GB" w:eastAsia="zh-CN"/>
        </w:rPr>
        <w:t>PDSCHs are bundled.</w:t>
      </w:r>
      <w:r>
        <w:rPr>
          <w:rFonts w:eastAsia="Times New Roman"/>
          <w:lang w:val="en-GB" w:eastAsia="zh-CN"/>
        </w:rPr>
        <w:t xml:space="preserve"> </w:t>
      </w:r>
      <w:r>
        <w:rPr>
          <w:rFonts w:eastAsia="Times New Roman"/>
          <w:lang w:val="en-GB" w:eastAsia="zh-CN"/>
        </w:rPr>
        <w:fldChar w:fldCharType="begin"/>
      </w:r>
      <w:r>
        <w:rPr>
          <w:rFonts w:eastAsia="Times New Roman"/>
          <w:lang w:val="en-GB" w:eastAsia="zh-CN"/>
        </w:rPr>
        <w:instrText xml:space="preserve"> REF _Ref61588745 \h </w:instrText>
      </w:r>
      <w:r>
        <w:rPr>
          <w:rFonts w:eastAsia="Times New Roman"/>
          <w:lang w:val="en-GB" w:eastAsia="zh-CN"/>
        </w:rPr>
      </w:r>
      <w:r>
        <w:rPr>
          <w:rFonts w:eastAsia="Times New Roman"/>
          <w:lang w:val="en-GB" w:eastAsia="zh-CN"/>
        </w:rPr>
        <w:fldChar w:fldCharType="separate"/>
      </w:r>
      <w:r w:rsidR="00B10CCE">
        <w:t xml:space="preserve">Figure </w:t>
      </w:r>
      <w:r w:rsidR="00B10CCE">
        <w:rPr>
          <w:noProof/>
        </w:rPr>
        <w:t>2</w:t>
      </w:r>
      <w:r>
        <w:rPr>
          <w:rFonts w:eastAsia="Times New Roman"/>
          <w:lang w:val="en-GB" w:eastAsia="zh-CN"/>
        </w:rPr>
        <w:fldChar w:fldCharType="end"/>
      </w:r>
      <w:r>
        <w:rPr>
          <w:rFonts w:eastAsia="Times New Roman"/>
          <w:lang w:val="en-GB" w:eastAsia="zh-CN"/>
        </w:rPr>
        <w:t xml:space="preserve"> illustrates </w:t>
      </w:r>
      <w:r>
        <w:rPr>
          <w:rFonts w:eastAsia="Times New Roman"/>
          <w:lang w:val="en-GB" w:eastAsia="zh-CN"/>
        </w:rPr>
        <w:lastRenderedPageBreak/>
        <w:t xml:space="preserve">one example of time-domain bundling of HARQ-ACK feedback. In the figure, it is assumed bundling size of 2 slots for HARQ-ACK feedback. </w:t>
      </w:r>
    </w:p>
    <w:p w14:paraId="201B6EB2" w14:textId="77777777" w:rsidR="00A21066" w:rsidRDefault="00A21066" w:rsidP="00A21066">
      <w:pPr>
        <w:keepNext/>
        <w:overflowPunct/>
        <w:autoSpaceDE/>
        <w:autoSpaceDN/>
        <w:adjustRightInd/>
        <w:spacing w:before="240" w:after="120"/>
        <w:jc w:val="center"/>
        <w:textAlignment w:val="auto"/>
      </w:pPr>
      <w:r w:rsidRPr="00347B3D">
        <w:rPr>
          <w:rFonts w:eastAsia="Times New Roman"/>
          <w:noProof/>
          <w:lang w:val="en-GB" w:eastAsia="zh-CN"/>
        </w:rPr>
        <w:drawing>
          <wp:inline distT="0" distB="0" distL="0" distR="0" wp14:anchorId="2E16B216" wp14:editId="37BAC678">
            <wp:extent cx="4811339" cy="1051817"/>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47791" cy="1059786"/>
                    </a:xfrm>
                    <a:prstGeom prst="rect">
                      <a:avLst/>
                    </a:prstGeom>
                  </pic:spPr>
                </pic:pic>
              </a:graphicData>
            </a:graphic>
          </wp:inline>
        </w:drawing>
      </w:r>
    </w:p>
    <w:p w14:paraId="57726247" w14:textId="70B07DCD" w:rsidR="00A21066" w:rsidRDefault="00A21066" w:rsidP="00A21066">
      <w:pPr>
        <w:pStyle w:val="Caption"/>
        <w:jc w:val="center"/>
        <w:rPr>
          <w:rFonts w:eastAsia="Times New Roman"/>
          <w:lang w:val="en-GB" w:eastAsia="zh-CN"/>
        </w:rPr>
      </w:pPr>
      <w:bookmarkStart w:id="10" w:name="_Ref61588745"/>
      <w:r>
        <w:t xml:space="preserve">Figure </w:t>
      </w:r>
      <w:r w:rsidR="008F6857">
        <w:fldChar w:fldCharType="begin"/>
      </w:r>
      <w:r w:rsidR="008F6857">
        <w:instrText xml:space="preserve"> SEQ Figure \* ARABIC </w:instrText>
      </w:r>
      <w:r w:rsidR="008F6857">
        <w:fldChar w:fldCharType="separate"/>
      </w:r>
      <w:r w:rsidR="00B10CCE">
        <w:rPr>
          <w:noProof/>
        </w:rPr>
        <w:t>2</w:t>
      </w:r>
      <w:r w:rsidR="008F6857">
        <w:rPr>
          <w:noProof/>
        </w:rPr>
        <w:fldChar w:fldCharType="end"/>
      </w:r>
      <w:bookmarkEnd w:id="10"/>
      <w:r>
        <w:t>. Time-domain bundling of HARQ-ACK feedback</w:t>
      </w:r>
    </w:p>
    <w:p w14:paraId="5A311FCC" w14:textId="77777777" w:rsidR="00A21066" w:rsidRDefault="00A21066" w:rsidP="00A21066">
      <w:pPr>
        <w:overflowPunct/>
        <w:autoSpaceDE/>
        <w:autoSpaceDN/>
        <w:adjustRightInd/>
        <w:spacing w:before="60" w:after="120"/>
        <w:jc w:val="both"/>
        <w:textAlignment w:val="auto"/>
        <w:rPr>
          <w:iCs/>
        </w:rPr>
      </w:pPr>
      <w:r>
        <w:rPr>
          <w:rFonts w:eastAsia="Times New Roman"/>
          <w:lang w:val="en-GB" w:eastAsia="zh-CN"/>
        </w:rPr>
        <w:t xml:space="preserve">When CBG based transmission is configured, </w:t>
      </w:r>
      <w:r w:rsidRPr="00A300D1">
        <w:rPr>
          <w:iCs/>
        </w:rPr>
        <w:t xml:space="preserve">HARQ-ACK feedback for multi-PDSCH scheduling </w:t>
      </w:r>
      <w:r>
        <w:rPr>
          <w:iCs/>
        </w:rPr>
        <w:t>can be</w:t>
      </w:r>
      <w:r w:rsidRPr="00A300D1">
        <w:rPr>
          <w:iCs/>
        </w:rPr>
        <w:t xml:space="preserve"> included in the sub-codebook which carries HARQ-ACK feedback for CBG based transmission</w:t>
      </w:r>
      <w:r>
        <w:rPr>
          <w:iCs/>
        </w:rPr>
        <w:t xml:space="preserve">, considering the similarity between multi-PDSCH scheduling and CBG based transmission. </w:t>
      </w:r>
    </w:p>
    <w:p w14:paraId="299DC56E" w14:textId="459F9FDB" w:rsidR="00A21066" w:rsidRPr="00997274" w:rsidRDefault="00A21066" w:rsidP="00A21066">
      <w:pPr>
        <w:overflowPunct/>
        <w:autoSpaceDE/>
        <w:autoSpaceDN/>
        <w:adjustRightInd/>
        <w:spacing w:before="60" w:after="120"/>
        <w:jc w:val="both"/>
        <w:textAlignment w:val="auto"/>
        <w:rPr>
          <w:iCs/>
          <w:highlight w:val="yellow"/>
          <w:lang w:val="en-GB"/>
        </w:rPr>
      </w:pPr>
      <w:r>
        <w:rPr>
          <w:iCs/>
        </w:rPr>
        <w:t xml:space="preserve">Further, when CBG based transmission is not configured, HARQ-ACK codebook construction may depend on the number of PDSCHs scheduled by the DCI. More specifically, when up to two PDSCHs are scheduled, HARQ-ACK feedback for multi-PDSCH scheduling can be included in </w:t>
      </w:r>
      <w:r w:rsidRPr="00073DF6">
        <w:rPr>
          <w:iCs/>
        </w:rPr>
        <w:t>the sub-codebook for TB-based HARQ-ACK</w:t>
      </w:r>
      <w:r>
        <w:rPr>
          <w:iCs/>
        </w:rPr>
        <w:t xml:space="preserve">, which can avoid the necessary zero padding if it is included in the </w:t>
      </w:r>
      <w:r w:rsidRPr="00073DF6">
        <w:rPr>
          <w:iCs/>
        </w:rPr>
        <w:t xml:space="preserve">sub-codebook for </w:t>
      </w:r>
      <w:r>
        <w:rPr>
          <w:iCs/>
        </w:rPr>
        <w:t>CBG</w:t>
      </w:r>
      <w:r w:rsidRPr="00073DF6">
        <w:rPr>
          <w:iCs/>
        </w:rPr>
        <w:t>-based HARQ-ACK</w:t>
      </w:r>
      <w:r>
        <w:rPr>
          <w:iCs/>
        </w:rPr>
        <w:t xml:space="preserve"> and thereby reduce the HARQ-ACK codebook size. Note that when the number of PDSCHs scheduled by the multi-TTI DCI is greater than 2, HARQ-ACK feedback for multi-PDSCH scheduling can be included in</w:t>
      </w:r>
      <w:r w:rsidRPr="00046777">
        <w:rPr>
          <w:iCs/>
        </w:rPr>
        <w:t xml:space="preserve"> </w:t>
      </w:r>
      <w:r w:rsidRPr="00073DF6">
        <w:rPr>
          <w:iCs/>
        </w:rPr>
        <w:t>the sub-codebook for CBG-based HARQ-ACK</w:t>
      </w:r>
      <w:r>
        <w:rPr>
          <w:iCs/>
        </w:rPr>
        <w:t>.</w:t>
      </w:r>
    </w:p>
    <w:p w14:paraId="24ABCB27" w14:textId="61048EE0" w:rsidR="00E40F68" w:rsidRPr="00877500" w:rsidRDefault="0046413A" w:rsidP="00877500">
      <w:pPr>
        <w:spacing w:before="240" w:after="0"/>
        <w:jc w:val="both"/>
        <w:rPr>
          <w:b/>
        </w:rPr>
      </w:pPr>
      <w:r w:rsidRPr="00877500">
        <w:rPr>
          <w:b/>
        </w:rPr>
        <w:t xml:space="preserve">Proposal </w:t>
      </w:r>
      <w:r w:rsidR="00AE2821">
        <w:rPr>
          <w:b/>
        </w:rPr>
        <w:t>4</w:t>
      </w:r>
    </w:p>
    <w:p w14:paraId="6D9D67DD" w14:textId="77777777" w:rsidR="0046413A" w:rsidRPr="00EA3D94" w:rsidRDefault="0046413A" w:rsidP="00EA3D94">
      <w:pPr>
        <w:pStyle w:val="ListParagraph"/>
        <w:numPr>
          <w:ilvl w:val="0"/>
          <w:numId w:val="29"/>
        </w:numPr>
        <w:rPr>
          <w:rFonts w:ascii="Times New Roman" w:hAnsi="Times New Roman"/>
          <w:sz w:val="20"/>
          <w:szCs w:val="20"/>
        </w:rPr>
      </w:pPr>
      <w:r w:rsidRPr="00EA3D94">
        <w:rPr>
          <w:rFonts w:ascii="Times New Roman" w:hAnsi="Times New Roman"/>
          <w:sz w:val="20"/>
          <w:szCs w:val="20"/>
        </w:rPr>
        <w:t xml:space="preserve">For multi-PDSCH scheduling, </w:t>
      </w:r>
    </w:p>
    <w:p w14:paraId="4AA67B2D" w14:textId="77777777" w:rsidR="0046413A" w:rsidRPr="00CD592F" w:rsidRDefault="0046413A"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 xml:space="preserve">Time domain bundling of HARQ-ACK feedback is supported. </w:t>
      </w:r>
    </w:p>
    <w:p w14:paraId="6FD04AC8" w14:textId="77777777" w:rsidR="0046413A" w:rsidRPr="00CD592F" w:rsidRDefault="0046413A"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If CBG based transmission is configured, HARQ-ACK feedback for multi-PDSCH scheduling is included in the sub-codebook which carries HARQ-ACK feedback for CBG based transmission.</w:t>
      </w:r>
    </w:p>
    <w:p w14:paraId="24D1C7E7" w14:textId="77777777" w:rsidR="00A21066" w:rsidRPr="00CD592F" w:rsidRDefault="00A21066" w:rsidP="00CD592F">
      <w:pPr>
        <w:pStyle w:val="ListParagraph"/>
        <w:numPr>
          <w:ilvl w:val="1"/>
          <w:numId w:val="29"/>
        </w:numPr>
        <w:rPr>
          <w:rFonts w:ascii="Times New Roman" w:hAnsi="Times New Roman"/>
          <w:sz w:val="20"/>
          <w:szCs w:val="20"/>
        </w:rPr>
      </w:pPr>
      <w:r w:rsidRPr="00CD592F">
        <w:rPr>
          <w:rFonts w:ascii="Times New Roman" w:hAnsi="Times New Roman"/>
          <w:sz w:val="20"/>
          <w:szCs w:val="20"/>
        </w:rPr>
        <w:t xml:space="preserve">If CBG based transmission is not configured, HARQ-ACK feedback for multi-PDSCH scheduling is included in </w:t>
      </w:r>
    </w:p>
    <w:p w14:paraId="1EEEBC77" w14:textId="77777777" w:rsidR="00A21066" w:rsidRPr="00CD592F" w:rsidRDefault="00A21066" w:rsidP="00207D9D">
      <w:pPr>
        <w:pStyle w:val="ListParagraph"/>
        <w:numPr>
          <w:ilvl w:val="2"/>
          <w:numId w:val="29"/>
        </w:numPr>
        <w:rPr>
          <w:rFonts w:ascii="Times New Roman" w:hAnsi="Times New Roman"/>
          <w:sz w:val="20"/>
          <w:szCs w:val="20"/>
        </w:rPr>
      </w:pPr>
      <w:r w:rsidRPr="00CD592F">
        <w:rPr>
          <w:rFonts w:ascii="Times New Roman" w:hAnsi="Times New Roman"/>
          <w:sz w:val="20"/>
          <w:szCs w:val="20"/>
        </w:rPr>
        <w:t>the sub-codebook for TB-based HARQ-ACK if up to two PDSCHs are scheduled;</w:t>
      </w:r>
    </w:p>
    <w:p w14:paraId="47C0E903" w14:textId="77777777" w:rsidR="00A21066" w:rsidRPr="00CD592F" w:rsidRDefault="00A21066" w:rsidP="00207D9D">
      <w:pPr>
        <w:pStyle w:val="ListParagraph"/>
        <w:numPr>
          <w:ilvl w:val="2"/>
          <w:numId w:val="29"/>
        </w:numPr>
        <w:rPr>
          <w:rFonts w:ascii="Times New Roman" w:hAnsi="Times New Roman"/>
          <w:sz w:val="20"/>
          <w:szCs w:val="20"/>
        </w:rPr>
      </w:pPr>
      <w:r w:rsidRPr="00CD592F">
        <w:rPr>
          <w:rFonts w:ascii="Times New Roman" w:hAnsi="Times New Roman"/>
          <w:sz w:val="20"/>
          <w:szCs w:val="20"/>
        </w:rPr>
        <w:t xml:space="preserve">otherwise, the sub-codebook for CBG-based HARQ-ACK. </w:t>
      </w:r>
    </w:p>
    <w:p w14:paraId="15A3C8AB" w14:textId="77777777" w:rsidR="001120EA" w:rsidRDefault="001120EA" w:rsidP="00AC49C3">
      <w:pPr>
        <w:overflowPunct/>
        <w:autoSpaceDE/>
        <w:autoSpaceDN/>
        <w:adjustRightInd/>
        <w:spacing w:before="60" w:after="120"/>
        <w:jc w:val="both"/>
        <w:textAlignment w:val="auto"/>
        <w:rPr>
          <w:lang w:eastAsia="x-none"/>
        </w:rPr>
      </w:pPr>
    </w:p>
    <w:p w14:paraId="1CC0FB3E" w14:textId="77777777" w:rsidR="00EC7172" w:rsidRDefault="00EC7172" w:rsidP="00AC49C3">
      <w:pPr>
        <w:overflowPunct/>
        <w:autoSpaceDE/>
        <w:autoSpaceDN/>
        <w:adjustRightInd/>
        <w:spacing w:before="60" w:after="120"/>
        <w:jc w:val="both"/>
        <w:textAlignment w:val="auto"/>
        <w:rPr>
          <w:lang w:eastAsia="x-none"/>
        </w:rPr>
      </w:pPr>
    </w:p>
    <w:p w14:paraId="2652D6DB" w14:textId="2EC84F4D" w:rsidR="00EC7172" w:rsidRDefault="00EC7172" w:rsidP="00EC7172">
      <w:pPr>
        <w:pStyle w:val="Heading2"/>
      </w:pPr>
      <w:r>
        <w:t>Potential Enhancements for DMRS</w:t>
      </w:r>
    </w:p>
    <w:p w14:paraId="1A0F0618" w14:textId="28DC108E" w:rsidR="007017AD" w:rsidRPr="00D151CD" w:rsidRDefault="007017AD" w:rsidP="007017AD">
      <w:r>
        <w:rPr>
          <w:lang w:val="en-GB" w:eastAsia="zh-CN"/>
        </w:rPr>
        <w:t>In NR</w:t>
      </w:r>
      <w:r w:rsidR="004F54DE">
        <w:rPr>
          <w:lang w:val="en-GB" w:eastAsia="zh-CN"/>
        </w:rPr>
        <w:t>,</w:t>
      </w:r>
      <w:r>
        <w:rPr>
          <w:lang w:val="en-GB" w:eastAsia="zh-CN"/>
        </w:rPr>
        <w:t xml:space="preserve"> DMRS utilizes frequency domain OCC to multiple</w:t>
      </w:r>
      <w:r w:rsidR="00E308B4">
        <w:rPr>
          <w:lang w:val="en-GB" w:eastAsia="zh-CN"/>
        </w:rPr>
        <w:t>x</w:t>
      </w:r>
      <w:r>
        <w:rPr>
          <w:lang w:val="en-GB" w:eastAsia="zh-CN"/>
        </w:rPr>
        <w:t xml:space="preserve"> DMRS ports </w:t>
      </w:r>
      <w:r w:rsidR="00E308B4">
        <w:rPr>
          <w:lang w:val="en-GB" w:eastAsia="zh-CN"/>
        </w:rPr>
        <w:t>wi</w:t>
      </w:r>
      <w:r w:rsidR="00E90F22">
        <w:rPr>
          <w:lang w:val="en-GB" w:eastAsia="zh-CN"/>
        </w:rPr>
        <w:t>t</w:t>
      </w:r>
      <w:r w:rsidR="00E308B4">
        <w:rPr>
          <w:lang w:val="en-GB" w:eastAsia="zh-CN"/>
        </w:rPr>
        <w:t>h</w:t>
      </w:r>
      <w:r>
        <w:rPr>
          <w:lang w:val="en-GB" w:eastAsia="zh-CN"/>
        </w:rPr>
        <w:t xml:space="preserve">in the same resource elements. Even if the UE is </w:t>
      </w:r>
      <w:r w:rsidRPr="00D151CD">
        <w:t>receiving the transmission using Rank 1, the UE needs to de-spread the OCC before channel estimation since the UE is not aware of whether other UEs are multiplexed in the same resources using a</w:t>
      </w:r>
      <w:r w:rsidR="0098477A">
        <w:t>n</w:t>
      </w:r>
      <w:r w:rsidRPr="00D151CD">
        <w:t xml:space="preserve"> orthogonal DMRS port or not. Therefore, the UE will need to always assume that there may be multiple DMRS ports multiplexed when processing DMRS for channel estimation.</w:t>
      </w:r>
    </w:p>
    <w:p w14:paraId="4D6996D2" w14:textId="77777777" w:rsidR="007017AD" w:rsidRPr="00D151CD" w:rsidRDefault="007017AD" w:rsidP="007017AD">
      <w:r w:rsidRPr="00D151CD">
        <w:t xml:space="preserve">The orthogonality of the OCC only works when there is no channel variation across the two REs with OCC. For smaller subcarrier spacing, this is typically not an issue as even with severe channel delay spreads, the channel is relatively flat and channel estimation can be performed with minimal performance loss. For larger subcarrier spacing, the channel become wide enough that there </w:t>
      </w:r>
      <w:proofErr w:type="gramStart"/>
      <w:r w:rsidRPr="00D151CD">
        <w:t>are</w:t>
      </w:r>
      <w:proofErr w:type="gramEnd"/>
      <w:r w:rsidRPr="00D151CD">
        <w:t xml:space="preserve"> some channel selectivity across the OCC REs, and this starts to impact high order modulation reception, where good channel estimation is required.</w:t>
      </w:r>
    </w:p>
    <w:p w14:paraId="66CBC76F" w14:textId="6D6D67FE" w:rsidR="007017AD" w:rsidRPr="00D151CD" w:rsidRDefault="007017AD" w:rsidP="007017AD">
      <w:pPr>
        <w:rPr>
          <w:lang w:val="en-GB" w:eastAsia="zh-CN"/>
        </w:rPr>
      </w:pPr>
      <w:r w:rsidRPr="00D151CD">
        <w:rPr>
          <w:lang w:val="en-GB" w:eastAsia="zh-CN"/>
        </w:rPr>
        <w:fldChar w:fldCharType="begin"/>
      </w:r>
      <w:r w:rsidRPr="00D151CD">
        <w:rPr>
          <w:lang w:val="en-GB" w:eastAsia="zh-CN"/>
        </w:rPr>
        <w:instrText xml:space="preserve"> REF _Ref53790019 \h </w:instrText>
      </w:r>
      <w:r>
        <w:rPr>
          <w:lang w:val="en-GB" w:eastAsia="zh-CN"/>
        </w:rPr>
        <w:instrText xml:space="preserve"> \* MERGEFORMAT </w:instrText>
      </w:r>
      <w:r w:rsidRPr="00D151CD">
        <w:rPr>
          <w:lang w:val="en-GB" w:eastAsia="zh-CN"/>
        </w:rPr>
      </w:r>
      <w:r w:rsidRPr="00D151CD">
        <w:rPr>
          <w:lang w:val="en-GB" w:eastAsia="zh-CN"/>
        </w:rPr>
        <w:fldChar w:fldCharType="separate"/>
      </w:r>
      <w:r w:rsidRPr="006C2F3E">
        <w:rPr>
          <w:lang w:val="en-GB" w:eastAsia="zh-CN"/>
        </w:rPr>
        <w:t>Figure 19</w:t>
      </w:r>
      <w:r w:rsidRPr="00D151CD">
        <w:rPr>
          <w:lang w:val="en-GB" w:eastAsia="zh-CN"/>
        </w:rPr>
        <w:fldChar w:fldCharType="end"/>
      </w:r>
      <w:r w:rsidRPr="00D151CD">
        <w:rPr>
          <w:lang w:val="en-GB" w:eastAsia="zh-CN"/>
        </w:rPr>
        <w:t xml:space="preserve"> shows PDSCH performance with and without frequency domain OCC being enabled for DMRS.</w:t>
      </w:r>
      <w:r>
        <w:rPr>
          <w:lang w:val="en-GB" w:eastAsia="zh-CN"/>
        </w:rPr>
        <w:t xml:space="preserve"> For higher order modulation such as 64QAM (MCS 22), we can clearly see the performance drop when OCC is enabled. The performance gap increases when channel delay spread increases. Therefore, it is evident that performance loss is stemming from the d</w:t>
      </w:r>
      <w:r w:rsidR="00BE0724">
        <w:rPr>
          <w:lang w:val="en-GB" w:eastAsia="zh-CN"/>
        </w:rPr>
        <w:t>e-</w:t>
      </w:r>
      <w:r>
        <w:rPr>
          <w:lang w:val="en-GB" w:eastAsia="zh-CN"/>
        </w:rPr>
        <w:t>spreading of the OCC when the channel selectivity is relatively high.</w:t>
      </w:r>
    </w:p>
    <w:p w14:paraId="32AEE2AA" w14:textId="77777777" w:rsidR="007017AD" w:rsidRPr="00D151CD" w:rsidRDefault="007017AD" w:rsidP="007017AD">
      <w:pPr>
        <w:spacing w:after="0"/>
        <w:jc w:val="both"/>
        <w:rPr>
          <w:rFonts w:eastAsia="Times New Roman"/>
          <w:iCs/>
          <w:lang w:eastAsia="zh-CN"/>
        </w:rPr>
      </w:pPr>
    </w:p>
    <w:p w14:paraId="7A3A5877" w14:textId="77777777" w:rsidR="007017AD" w:rsidRPr="00D151CD" w:rsidRDefault="007017AD" w:rsidP="007017AD">
      <w:pPr>
        <w:spacing w:after="0"/>
        <w:jc w:val="center"/>
        <w:rPr>
          <w:rFonts w:eastAsia="Times New Roman"/>
          <w:iCs/>
          <w:lang w:eastAsia="zh-CN"/>
        </w:rPr>
      </w:pPr>
      <w:r w:rsidRPr="00D151CD">
        <w:rPr>
          <w:rStyle w:val="THChar"/>
          <w:rFonts w:ascii="Calibri" w:hAnsi="Calibri" w:cs="Calibri"/>
          <w:noProof/>
          <w:sz w:val="22"/>
          <w:szCs w:val="22"/>
        </w:rPr>
        <w:lastRenderedPageBreak/>
        <w:drawing>
          <wp:inline distT="0" distB="0" distL="0" distR="0" wp14:anchorId="7693198C" wp14:editId="04481409">
            <wp:extent cx="3232196" cy="224285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52012" cy="2256604"/>
                    </a:xfrm>
                    <a:prstGeom prst="rect">
                      <a:avLst/>
                    </a:prstGeom>
                    <a:noFill/>
                    <a:ln>
                      <a:noFill/>
                    </a:ln>
                  </pic:spPr>
                </pic:pic>
              </a:graphicData>
            </a:graphic>
          </wp:inline>
        </w:drawing>
      </w:r>
      <w:r w:rsidRPr="00D151CD">
        <w:rPr>
          <w:rStyle w:val="THChar"/>
          <w:rFonts w:ascii="Calibri" w:hAnsi="Calibri" w:cs="Calibri"/>
          <w:noProof/>
          <w:sz w:val="22"/>
          <w:szCs w:val="22"/>
        </w:rPr>
        <w:drawing>
          <wp:inline distT="0" distB="0" distL="0" distR="0" wp14:anchorId="5C3560A1" wp14:editId="06C8E5A5">
            <wp:extent cx="2917658" cy="224528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37629" cy="2260657"/>
                    </a:xfrm>
                    <a:prstGeom prst="rect">
                      <a:avLst/>
                    </a:prstGeom>
                    <a:noFill/>
                    <a:ln>
                      <a:noFill/>
                    </a:ln>
                  </pic:spPr>
                </pic:pic>
              </a:graphicData>
            </a:graphic>
          </wp:inline>
        </w:drawing>
      </w:r>
    </w:p>
    <w:p w14:paraId="2B60BCBA" w14:textId="77777777" w:rsidR="007017AD" w:rsidRPr="00D151CD" w:rsidRDefault="007017AD" w:rsidP="007017AD">
      <w:pPr>
        <w:spacing w:after="0"/>
        <w:jc w:val="both"/>
        <w:rPr>
          <w:rFonts w:eastAsia="Times New Roman"/>
          <w:iCs/>
          <w:lang w:eastAsia="zh-CN"/>
        </w:rPr>
      </w:pPr>
    </w:p>
    <w:p w14:paraId="3934E9D6" w14:textId="77777777" w:rsidR="007017AD" w:rsidRDefault="007017AD" w:rsidP="007017AD">
      <w:pPr>
        <w:keepNext/>
        <w:spacing w:after="0"/>
        <w:jc w:val="center"/>
      </w:pPr>
      <w:r w:rsidRPr="00D151CD">
        <w:rPr>
          <w:rStyle w:val="THChar"/>
          <w:rFonts w:ascii="Calibri" w:hAnsi="Calibri" w:cs="Calibri"/>
          <w:noProof/>
          <w:sz w:val="22"/>
          <w:szCs w:val="22"/>
        </w:rPr>
        <w:drawing>
          <wp:inline distT="0" distB="0" distL="0" distR="0" wp14:anchorId="641EA6A8" wp14:editId="06EC7252">
            <wp:extent cx="3170321" cy="22209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18643" cy="2254838"/>
                    </a:xfrm>
                    <a:prstGeom prst="rect">
                      <a:avLst/>
                    </a:prstGeom>
                    <a:noFill/>
                    <a:ln>
                      <a:noFill/>
                    </a:ln>
                  </pic:spPr>
                </pic:pic>
              </a:graphicData>
            </a:graphic>
          </wp:inline>
        </w:drawing>
      </w:r>
      <w:r w:rsidRPr="00D151CD">
        <w:rPr>
          <w:rStyle w:val="THChar"/>
          <w:rFonts w:ascii="Calibri" w:hAnsi="Calibri" w:cs="Calibri"/>
          <w:noProof/>
          <w:sz w:val="22"/>
          <w:szCs w:val="22"/>
        </w:rPr>
        <w:drawing>
          <wp:inline distT="0" distB="0" distL="0" distR="0" wp14:anchorId="37EA6DDC" wp14:editId="378561FF">
            <wp:extent cx="3086100" cy="224962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97386" cy="2257849"/>
                    </a:xfrm>
                    <a:prstGeom prst="rect">
                      <a:avLst/>
                    </a:prstGeom>
                    <a:noFill/>
                    <a:ln>
                      <a:noFill/>
                    </a:ln>
                  </pic:spPr>
                </pic:pic>
              </a:graphicData>
            </a:graphic>
          </wp:inline>
        </w:drawing>
      </w:r>
    </w:p>
    <w:p w14:paraId="3DFB8E69" w14:textId="77777777" w:rsidR="007017AD" w:rsidRPr="00D151CD" w:rsidRDefault="007017AD" w:rsidP="007017AD">
      <w:pPr>
        <w:pStyle w:val="Caption"/>
        <w:jc w:val="center"/>
        <w:rPr>
          <w:rFonts w:eastAsia="Times New Roman"/>
          <w:iCs/>
          <w:lang w:eastAsia="zh-CN"/>
        </w:rPr>
      </w:pPr>
      <w:bookmarkStart w:id="11" w:name="_Ref53790019"/>
      <w:r>
        <w:t xml:space="preserve">Figure </w:t>
      </w:r>
      <w:r w:rsidR="008F6857">
        <w:fldChar w:fldCharType="begin"/>
      </w:r>
      <w:r w:rsidR="008F6857">
        <w:instrText xml:space="preserve"> SEQ Figure \* ARABIC </w:instrText>
      </w:r>
      <w:r w:rsidR="008F6857">
        <w:fldChar w:fldCharType="separate"/>
      </w:r>
      <w:r>
        <w:rPr>
          <w:noProof/>
        </w:rPr>
        <w:t>19</w:t>
      </w:r>
      <w:r w:rsidR="008F6857">
        <w:rPr>
          <w:noProof/>
        </w:rPr>
        <w:fldChar w:fldCharType="end"/>
      </w:r>
      <w:bookmarkEnd w:id="11"/>
      <w:r>
        <w:t>. PDSCH BLER comparison with and without frequency domain OCC in DMRS</w:t>
      </w:r>
    </w:p>
    <w:p w14:paraId="30DFDBCB" w14:textId="77777777" w:rsidR="001D366E" w:rsidRDefault="001D366E" w:rsidP="004A1998">
      <w:pPr>
        <w:overflowPunct/>
        <w:autoSpaceDE/>
        <w:autoSpaceDN/>
        <w:adjustRightInd/>
        <w:spacing w:before="60" w:after="120"/>
        <w:jc w:val="both"/>
        <w:textAlignment w:val="auto"/>
        <w:rPr>
          <w:lang w:eastAsia="x-none"/>
        </w:rPr>
      </w:pPr>
    </w:p>
    <w:p w14:paraId="274EF0BB" w14:textId="03B3350C" w:rsidR="00F5231A" w:rsidRDefault="00973C2D" w:rsidP="008B51FF">
      <w:pPr>
        <w:overflowPunct/>
        <w:autoSpaceDE/>
        <w:autoSpaceDN/>
        <w:adjustRightInd/>
        <w:spacing w:before="60" w:after="120"/>
        <w:jc w:val="both"/>
        <w:textAlignment w:val="auto"/>
        <w:rPr>
          <w:lang w:eastAsia="x-none"/>
        </w:rPr>
      </w:pPr>
      <w:r>
        <w:rPr>
          <w:lang w:eastAsia="x-none"/>
        </w:rPr>
        <w:t xml:space="preserve">In order to avoid </w:t>
      </w:r>
      <w:r w:rsidR="00003AF1">
        <w:rPr>
          <w:lang w:eastAsia="x-none"/>
        </w:rPr>
        <w:t xml:space="preserve">the described performance degradation for 480 kHz and 960 kHz, </w:t>
      </w:r>
      <w:r w:rsidR="008C7F04">
        <w:rPr>
          <w:lang w:eastAsia="x-none"/>
        </w:rPr>
        <w:t xml:space="preserve">some modification of the UE assumption on DMRS port multiplexing </w:t>
      </w:r>
      <w:r w:rsidR="00727D5C">
        <w:rPr>
          <w:lang w:eastAsia="x-none"/>
        </w:rPr>
        <w:t xml:space="preserve">could be considered </w:t>
      </w:r>
      <w:r w:rsidR="00F44529">
        <w:rPr>
          <w:lang w:eastAsia="x-none"/>
        </w:rPr>
        <w:t>to</w:t>
      </w:r>
      <w:r w:rsidR="00D10CF1">
        <w:rPr>
          <w:lang w:eastAsia="x-none"/>
        </w:rPr>
        <w:t xml:space="preserve"> avoid </w:t>
      </w:r>
      <w:r w:rsidR="003B4C30">
        <w:rPr>
          <w:lang w:eastAsia="x-none"/>
        </w:rPr>
        <w:t xml:space="preserve">the </w:t>
      </w:r>
      <w:r w:rsidR="00D10CF1">
        <w:rPr>
          <w:lang w:eastAsia="x-none"/>
        </w:rPr>
        <w:t xml:space="preserve">necessity of </w:t>
      </w:r>
      <w:r w:rsidR="009B7D63">
        <w:rPr>
          <w:lang w:eastAsia="x-none"/>
        </w:rPr>
        <w:t xml:space="preserve">doing </w:t>
      </w:r>
      <w:r w:rsidR="00D10CF1">
        <w:rPr>
          <w:lang w:eastAsia="x-none"/>
        </w:rPr>
        <w:t>OCC de-spreading</w:t>
      </w:r>
      <w:r w:rsidR="009A441E">
        <w:rPr>
          <w:lang w:eastAsia="x-none"/>
        </w:rPr>
        <w:t xml:space="preserve"> every time </w:t>
      </w:r>
      <w:r w:rsidR="003B4C30" w:rsidRPr="00D151CD">
        <w:t>before channel estimation</w:t>
      </w:r>
      <w:r w:rsidR="009B7D63">
        <w:rPr>
          <w:lang w:eastAsia="x-none"/>
        </w:rPr>
        <w:t>.</w:t>
      </w:r>
      <w:r w:rsidR="00D10CF1">
        <w:rPr>
          <w:lang w:eastAsia="x-none"/>
        </w:rPr>
        <w:t xml:space="preserve"> </w:t>
      </w:r>
      <w:proofErr w:type="gramStart"/>
      <w:r w:rsidR="00656DB9">
        <w:rPr>
          <w:lang w:eastAsia="x-none"/>
        </w:rPr>
        <w:t>In particular</w:t>
      </w:r>
      <w:r w:rsidR="00FB1872">
        <w:rPr>
          <w:lang w:eastAsia="x-none"/>
        </w:rPr>
        <w:t>, we</w:t>
      </w:r>
      <w:proofErr w:type="gramEnd"/>
      <w:r w:rsidR="00FB1872">
        <w:rPr>
          <w:lang w:eastAsia="x-none"/>
        </w:rPr>
        <w:t xml:space="preserve"> propose </w:t>
      </w:r>
      <w:r w:rsidR="00B478EF">
        <w:rPr>
          <w:lang w:eastAsia="x-none"/>
        </w:rPr>
        <w:t xml:space="preserve">to </w:t>
      </w:r>
      <w:r w:rsidR="009A441E">
        <w:rPr>
          <w:lang w:eastAsia="x-none"/>
        </w:rPr>
        <w:t>indicat</w:t>
      </w:r>
      <w:r w:rsidR="00FB1872">
        <w:rPr>
          <w:lang w:eastAsia="x-none"/>
        </w:rPr>
        <w:t xml:space="preserve">e </w:t>
      </w:r>
      <w:r w:rsidR="005B7045">
        <w:rPr>
          <w:lang w:eastAsia="x-none"/>
        </w:rPr>
        <w:t xml:space="preserve">to UE that </w:t>
      </w:r>
      <w:r w:rsidR="00B84982">
        <w:rPr>
          <w:lang w:eastAsia="x-none"/>
        </w:rPr>
        <w:t>CDM groups</w:t>
      </w:r>
      <w:r w:rsidR="008B51FF">
        <w:rPr>
          <w:lang w:eastAsia="x-none"/>
        </w:rPr>
        <w:t>,</w:t>
      </w:r>
      <w:r w:rsidR="00B84982">
        <w:rPr>
          <w:lang w:eastAsia="x-none"/>
        </w:rPr>
        <w:t xml:space="preserve"> </w:t>
      </w:r>
      <w:r w:rsidR="00EB3AB3">
        <w:rPr>
          <w:lang w:eastAsia="x-none"/>
        </w:rPr>
        <w:t xml:space="preserve">signaled </w:t>
      </w:r>
      <w:r w:rsidR="00B84982">
        <w:rPr>
          <w:lang w:eastAsia="x-none"/>
        </w:rPr>
        <w:t>in scheduling DCI</w:t>
      </w:r>
      <w:r w:rsidR="008B51FF">
        <w:rPr>
          <w:lang w:eastAsia="x-none"/>
        </w:rPr>
        <w:t>,</w:t>
      </w:r>
      <w:r w:rsidR="00B84982">
        <w:rPr>
          <w:lang w:eastAsia="x-none"/>
        </w:rPr>
        <w:t xml:space="preserve"> do not </w:t>
      </w:r>
      <w:r w:rsidR="0024722A">
        <w:rPr>
          <w:lang w:eastAsia="x-none"/>
        </w:rPr>
        <w:t>contain</w:t>
      </w:r>
      <w:r w:rsidR="00B84982">
        <w:rPr>
          <w:lang w:eastAsia="x-none"/>
        </w:rPr>
        <w:t xml:space="preserve"> </w:t>
      </w:r>
      <w:r w:rsidR="0024722A">
        <w:rPr>
          <w:lang w:eastAsia="x-none"/>
        </w:rPr>
        <w:t xml:space="preserve">potential co-scheduled </w:t>
      </w:r>
      <w:r w:rsidR="00012A6B">
        <w:rPr>
          <w:lang w:eastAsia="x-none"/>
        </w:rPr>
        <w:t>DMRS</w:t>
      </w:r>
      <w:r w:rsidR="008B51FF">
        <w:rPr>
          <w:lang w:eastAsia="x-none"/>
        </w:rPr>
        <w:t>.</w:t>
      </w:r>
    </w:p>
    <w:p w14:paraId="1A02DF57" w14:textId="5EB058EC" w:rsidR="0097109D" w:rsidRDefault="0097109D" w:rsidP="00BD6A5D">
      <w:pPr>
        <w:overflowPunct/>
        <w:autoSpaceDE/>
        <w:autoSpaceDN/>
        <w:adjustRightInd/>
        <w:spacing w:before="60" w:after="120"/>
        <w:jc w:val="both"/>
        <w:textAlignment w:val="auto"/>
        <w:rPr>
          <w:lang w:eastAsia="x-none"/>
        </w:rPr>
      </w:pPr>
      <w:r w:rsidRPr="000F5F6A">
        <w:rPr>
          <w:b/>
          <w:bCs/>
          <w:lang w:eastAsia="x-none"/>
        </w:rPr>
        <w:t xml:space="preserve">Proposal </w:t>
      </w:r>
      <w:r w:rsidR="00AE2821">
        <w:rPr>
          <w:b/>
          <w:bCs/>
          <w:lang w:eastAsia="x-none"/>
        </w:rPr>
        <w:t>5</w:t>
      </w:r>
      <w:r w:rsidRPr="000F5F6A">
        <w:rPr>
          <w:b/>
          <w:bCs/>
          <w:lang w:eastAsia="x-none"/>
        </w:rPr>
        <w:t>:</w:t>
      </w:r>
      <w:r>
        <w:rPr>
          <w:lang w:eastAsia="x-none"/>
        </w:rPr>
        <w:t xml:space="preserve"> Indicate to UE that CDM groups, signaled in sch</w:t>
      </w:r>
      <w:r w:rsidR="00613824">
        <w:rPr>
          <w:lang w:eastAsia="x-none"/>
        </w:rPr>
        <w:t>eduling DCI, do not contain potential co-scheduled DMRS.</w:t>
      </w:r>
    </w:p>
    <w:p w14:paraId="0783CB52" w14:textId="77777777" w:rsidR="00EC7172" w:rsidRDefault="00EC7172" w:rsidP="00AC49C3">
      <w:pPr>
        <w:overflowPunct/>
        <w:autoSpaceDE/>
        <w:autoSpaceDN/>
        <w:adjustRightInd/>
        <w:spacing w:before="60" w:after="120"/>
        <w:jc w:val="both"/>
        <w:textAlignment w:val="auto"/>
        <w:rPr>
          <w:lang w:eastAsia="x-none"/>
        </w:rPr>
      </w:pPr>
    </w:p>
    <w:p w14:paraId="2599B71E" w14:textId="77777777" w:rsidR="00EF21E8" w:rsidRPr="00DD137F" w:rsidRDefault="00EF21E8" w:rsidP="00AC49C3">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bookmarkStart w:id="12" w:name="_GoBack"/>
      <w:bookmarkEnd w:id="12"/>
    </w:p>
    <w:p w14:paraId="4B787C32" w14:textId="0A704346"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proofErr w:type="spellStart"/>
      <w:r w:rsidR="005D58E7">
        <w:rPr>
          <w:lang w:eastAsia="zh-CN"/>
        </w:rPr>
        <w:t>xxxx</w:t>
      </w:r>
      <w:proofErr w:type="spellEnd"/>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096B87EE" w14:textId="77777777" w:rsidR="00126432" w:rsidRPr="00877500" w:rsidRDefault="00126432" w:rsidP="00126432">
      <w:pPr>
        <w:spacing w:before="240" w:after="0"/>
        <w:jc w:val="both"/>
        <w:rPr>
          <w:b/>
        </w:rPr>
      </w:pPr>
      <w:r w:rsidRPr="00877500">
        <w:rPr>
          <w:b/>
        </w:rPr>
        <w:t xml:space="preserve">Proposal </w:t>
      </w:r>
      <w:r>
        <w:rPr>
          <w:b/>
        </w:rPr>
        <w:t>1</w:t>
      </w:r>
    </w:p>
    <w:p w14:paraId="7D4A602B" w14:textId="77777777" w:rsidR="00126432" w:rsidRPr="00B10CCE" w:rsidRDefault="00126432" w:rsidP="00126432">
      <w:pPr>
        <w:pStyle w:val="ListParagraph"/>
        <w:numPr>
          <w:ilvl w:val="0"/>
          <w:numId w:val="29"/>
        </w:numPr>
        <w:rPr>
          <w:rFonts w:ascii="Times New Roman" w:hAnsi="Times New Roman"/>
          <w:sz w:val="20"/>
          <w:szCs w:val="20"/>
        </w:rPr>
      </w:pPr>
      <w:r w:rsidRPr="00B10CCE">
        <w:rPr>
          <w:rFonts w:ascii="Times New Roman" w:hAnsi="Times New Roman"/>
          <w:sz w:val="20"/>
          <w:szCs w:val="20"/>
        </w:rPr>
        <w:t>Minimum supported bandwidth of 400 MHz</w:t>
      </w:r>
      <w:r>
        <w:rPr>
          <w:rFonts w:ascii="Times New Roman" w:hAnsi="Times New Roman"/>
          <w:sz w:val="20"/>
          <w:szCs w:val="20"/>
        </w:rPr>
        <w:t xml:space="preserve"> for any SCS.</w:t>
      </w:r>
    </w:p>
    <w:p w14:paraId="29583FFE" w14:textId="77777777" w:rsidR="00126432" w:rsidRDefault="00126432" w:rsidP="00126432">
      <w:pPr>
        <w:pStyle w:val="ListParagraph"/>
        <w:numPr>
          <w:ilvl w:val="0"/>
          <w:numId w:val="29"/>
        </w:numPr>
        <w:rPr>
          <w:rFonts w:ascii="Times New Roman" w:hAnsi="Times New Roman"/>
          <w:sz w:val="20"/>
          <w:szCs w:val="20"/>
        </w:rPr>
      </w:pPr>
      <w:r>
        <w:rPr>
          <w:rFonts w:ascii="Times New Roman" w:hAnsi="Times New Roman"/>
          <w:sz w:val="20"/>
          <w:szCs w:val="20"/>
        </w:rPr>
        <w:t>Maximum supported bandwidth of 1600 MHz for 480 kHz SCS.</w:t>
      </w:r>
    </w:p>
    <w:p w14:paraId="399BBC2E" w14:textId="77777777" w:rsidR="00126432" w:rsidRPr="00B10CCE" w:rsidRDefault="00126432" w:rsidP="00126432">
      <w:pPr>
        <w:pStyle w:val="ListParagraph"/>
        <w:numPr>
          <w:ilvl w:val="0"/>
          <w:numId w:val="29"/>
        </w:numPr>
        <w:rPr>
          <w:rFonts w:ascii="Times New Roman" w:hAnsi="Times New Roman"/>
          <w:sz w:val="20"/>
          <w:szCs w:val="20"/>
        </w:rPr>
      </w:pPr>
      <w:r w:rsidRPr="00B10CCE">
        <w:rPr>
          <w:rFonts w:ascii="Times New Roman" w:hAnsi="Times New Roman"/>
          <w:sz w:val="20"/>
          <w:szCs w:val="20"/>
        </w:rPr>
        <w:t>Maximum supported bandwidth of 2000 MHz</w:t>
      </w:r>
      <w:r>
        <w:rPr>
          <w:rFonts w:ascii="Times New Roman" w:hAnsi="Times New Roman"/>
          <w:sz w:val="20"/>
          <w:szCs w:val="20"/>
        </w:rPr>
        <w:t xml:space="preserve"> for 960 kHz SCS.</w:t>
      </w:r>
    </w:p>
    <w:p w14:paraId="268F0070" w14:textId="77777777" w:rsidR="00126432" w:rsidRPr="00B10CCE" w:rsidRDefault="00126432" w:rsidP="00126432">
      <w:pPr>
        <w:pStyle w:val="ListParagraph"/>
        <w:numPr>
          <w:ilvl w:val="1"/>
          <w:numId w:val="29"/>
        </w:numPr>
        <w:rPr>
          <w:rFonts w:ascii="Times New Roman" w:hAnsi="Times New Roman"/>
          <w:sz w:val="20"/>
          <w:szCs w:val="20"/>
        </w:rPr>
      </w:pPr>
      <w:r w:rsidRPr="00B10CCE">
        <w:rPr>
          <w:rFonts w:ascii="Times New Roman" w:hAnsi="Times New Roman"/>
          <w:sz w:val="20"/>
          <w:szCs w:val="20"/>
        </w:rPr>
        <w:t>2000 MHz could be supported without changes to Tc = 1</w:t>
      </w:r>
      <w:proofErr w:type="gramStart"/>
      <w:r w:rsidRPr="00B10CCE">
        <w:rPr>
          <w:rFonts w:ascii="Times New Roman" w:hAnsi="Times New Roman"/>
          <w:sz w:val="20"/>
          <w:szCs w:val="20"/>
        </w:rPr>
        <w:t>/(</w:t>
      </w:r>
      <w:proofErr w:type="gramEnd"/>
      <w:r w:rsidRPr="00B10CCE">
        <w:rPr>
          <w:rFonts w:ascii="Times New Roman" w:hAnsi="Times New Roman"/>
          <w:sz w:val="20"/>
          <w:szCs w:val="20"/>
        </w:rPr>
        <w:t>480e3 * 4096) even for 960 kHz.</w:t>
      </w:r>
    </w:p>
    <w:p w14:paraId="5710865A" w14:textId="77777777" w:rsidR="00126432" w:rsidRPr="00B10CCE" w:rsidRDefault="00126432" w:rsidP="00126432">
      <w:pPr>
        <w:pStyle w:val="ListParagraph"/>
        <w:numPr>
          <w:ilvl w:val="1"/>
          <w:numId w:val="29"/>
        </w:numPr>
        <w:rPr>
          <w:rFonts w:ascii="Times New Roman" w:hAnsi="Times New Roman"/>
          <w:sz w:val="20"/>
          <w:szCs w:val="20"/>
        </w:rPr>
      </w:pPr>
      <w:r w:rsidRPr="00B10CCE">
        <w:rPr>
          <w:rFonts w:ascii="Times New Roman" w:hAnsi="Times New Roman"/>
          <w:sz w:val="20"/>
          <w:szCs w:val="20"/>
        </w:rPr>
        <w:lastRenderedPageBreak/>
        <w:t>For 960kHz, up to 170 PRB can be supported without changing Tc. This results 1.9584 GHz which should be sufficiently large enough occupied bandwidth for 2GHz channel. Most likely the actual occupied channel defined by RAN4 will be smaller than 170 PRB.</w:t>
      </w:r>
    </w:p>
    <w:p w14:paraId="2FFF1758" w14:textId="77777777" w:rsidR="00126432" w:rsidRPr="00B10CCE" w:rsidRDefault="00126432" w:rsidP="00126432">
      <w:pPr>
        <w:pStyle w:val="ListParagraph"/>
        <w:numPr>
          <w:ilvl w:val="0"/>
          <w:numId w:val="29"/>
        </w:numPr>
        <w:rPr>
          <w:rFonts w:ascii="Times New Roman" w:hAnsi="Times New Roman"/>
          <w:sz w:val="20"/>
          <w:szCs w:val="20"/>
        </w:rPr>
      </w:pPr>
      <w:r w:rsidRPr="00B10CCE">
        <w:rPr>
          <w:rFonts w:ascii="Times New Roman" w:hAnsi="Times New Roman"/>
          <w:sz w:val="20"/>
          <w:szCs w:val="20"/>
        </w:rPr>
        <w:t>The maximum number of PRB that RAN1 considers for 480kHz is 275, and 960kHz is 170. Up to RAN4 to define the exact PRB sizes for each channel bandwidth</w:t>
      </w:r>
      <w:r>
        <w:rPr>
          <w:rFonts w:ascii="Times New Roman" w:hAnsi="Times New Roman"/>
          <w:sz w:val="20"/>
          <w:szCs w:val="20"/>
        </w:rPr>
        <w:t>.</w:t>
      </w:r>
    </w:p>
    <w:p w14:paraId="4BDDC30B" w14:textId="77777777" w:rsidR="00AE2821" w:rsidRPr="00877500" w:rsidRDefault="00AE2821" w:rsidP="00AE2821">
      <w:pPr>
        <w:spacing w:before="240" w:after="0"/>
        <w:jc w:val="both"/>
        <w:rPr>
          <w:b/>
        </w:rPr>
      </w:pPr>
      <w:r w:rsidRPr="00877500">
        <w:rPr>
          <w:b/>
        </w:rPr>
        <w:t xml:space="preserve">Proposal </w:t>
      </w:r>
      <w:r>
        <w:rPr>
          <w:b/>
        </w:rPr>
        <w:t>2</w:t>
      </w:r>
    </w:p>
    <w:p w14:paraId="159053B1" w14:textId="77777777" w:rsidR="00AE2821" w:rsidRPr="006D3939" w:rsidRDefault="00AE2821" w:rsidP="00AE2821">
      <w:pPr>
        <w:pStyle w:val="ListParagraph"/>
        <w:numPr>
          <w:ilvl w:val="0"/>
          <w:numId w:val="29"/>
        </w:numPr>
        <w:rPr>
          <w:rFonts w:ascii="Times New Roman" w:hAnsi="Times New Roman"/>
          <w:sz w:val="20"/>
          <w:szCs w:val="20"/>
        </w:rPr>
      </w:pPr>
      <w:r w:rsidRPr="006D3939">
        <w:rPr>
          <w:rFonts w:ascii="Times New Roman" w:hAnsi="Times New Roman"/>
          <w:sz w:val="20"/>
          <w:szCs w:val="20"/>
        </w:rPr>
        <w:t>Multi-PUSCH scheduling as defined for NR-U can be considered as baseline for multi-PUSCH scheduling.</w:t>
      </w:r>
    </w:p>
    <w:p w14:paraId="5CE766D8" w14:textId="77777777" w:rsidR="00AE2821" w:rsidRPr="006D3939" w:rsidRDefault="00AE2821" w:rsidP="00AE2821">
      <w:pPr>
        <w:pStyle w:val="ListParagraph"/>
        <w:numPr>
          <w:ilvl w:val="0"/>
          <w:numId w:val="29"/>
        </w:numPr>
        <w:rPr>
          <w:rFonts w:ascii="Times New Roman" w:hAnsi="Times New Roman"/>
          <w:sz w:val="20"/>
          <w:szCs w:val="20"/>
        </w:rPr>
      </w:pPr>
      <w:r w:rsidRPr="006D3939">
        <w:rPr>
          <w:rFonts w:ascii="Times New Roman" w:hAnsi="Times New Roman"/>
          <w:sz w:val="20"/>
          <w:szCs w:val="20"/>
        </w:rPr>
        <w:t xml:space="preserve">For multi-PDSCH scheduling, </w:t>
      </w:r>
    </w:p>
    <w:p w14:paraId="3461597E"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Supported both TB and CBG based scheduling.</w:t>
      </w:r>
    </w:p>
    <w:p w14:paraId="15B2F544"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Maximum number of PDSCHs for TB based scheduling is 8</w:t>
      </w:r>
    </w:p>
    <w:p w14:paraId="0D77F7EA"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Maximum number of PDSCHs for CBG based scheduling is 2.</w:t>
      </w:r>
    </w:p>
    <w:p w14:paraId="46422971" w14:textId="77777777" w:rsidR="00AE2821" w:rsidRPr="00877500" w:rsidRDefault="00AE2821" w:rsidP="00AE2821">
      <w:pPr>
        <w:spacing w:before="240" w:after="0"/>
        <w:jc w:val="both"/>
        <w:rPr>
          <w:b/>
        </w:rPr>
      </w:pPr>
      <w:r w:rsidRPr="00877500">
        <w:rPr>
          <w:b/>
        </w:rPr>
        <w:t xml:space="preserve">Proposal </w:t>
      </w:r>
      <w:r>
        <w:rPr>
          <w:b/>
        </w:rPr>
        <w:t>3</w:t>
      </w:r>
    </w:p>
    <w:p w14:paraId="733CB754" w14:textId="77777777" w:rsidR="00AE2821" w:rsidRPr="006D3939" w:rsidRDefault="00AE2821" w:rsidP="00AE2821">
      <w:pPr>
        <w:pStyle w:val="ListParagraph"/>
        <w:numPr>
          <w:ilvl w:val="0"/>
          <w:numId w:val="29"/>
        </w:numPr>
        <w:rPr>
          <w:rFonts w:ascii="Times New Roman" w:hAnsi="Times New Roman"/>
          <w:sz w:val="20"/>
          <w:szCs w:val="20"/>
        </w:rPr>
      </w:pPr>
      <w:r w:rsidRPr="006D3939">
        <w:rPr>
          <w:rFonts w:ascii="Times New Roman" w:hAnsi="Times New Roman"/>
          <w:sz w:val="20"/>
          <w:szCs w:val="20"/>
        </w:rPr>
        <w:t xml:space="preserve">For multi-PDSCH scheduling </w:t>
      </w:r>
    </w:p>
    <w:p w14:paraId="7B520534"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Separate SLIVs are configured for each PDSCH as part of TDRA configuration. Number of PDSCHs is determined based on the number of SLIVs.</w:t>
      </w:r>
    </w:p>
    <w:p w14:paraId="149E871E"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Carrier indicator, BWP indicator, frequency domain resource allocation, MCS, DMRS configuration including antenna port, DMRS sequence initialization, etc., can be applied for all the scheduled PDSCHs.</w:t>
      </w:r>
    </w:p>
    <w:p w14:paraId="20B23AAE"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 xml:space="preserve">HARQ process ID for </w:t>
      </w:r>
      <w:r>
        <w:rPr>
          <w:rFonts w:ascii="Times New Roman" w:hAnsi="Times New Roman"/>
          <w:sz w:val="20"/>
          <w:szCs w:val="20"/>
        </w:rPr>
        <w:t>the first</w:t>
      </w:r>
      <w:r w:rsidRPr="00CD592F">
        <w:rPr>
          <w:rFonts w:ascii="Times New Roman" w:hAnsi="Times New Roman"/>
          <w:sz w:val="20"/>
          <w:szCs w:val="20"/>
        </w:rPr>
        <w:t xml:space="preserve"> PDSCH is based on the indicated HARQ process ID in the DCI and increased by 1 for subsequent PDSCHs. </w:t>
      </w:r>
    </w:p>
    <w:p w14:paraId="7081E233"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 xml:space="preserve">NDI and RV bitmap for each scheduled PDSCH is included in the DCI. </w:t>
      </w:r>
    </w:p>
    <w:p w14:paraId="41CFB92F" w14:textId="1DCD935A"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A single PDSCH-to-HARQ</w:t>
      </w:r>
      <w:r w:rsidR="00406E5F">
        <w:rPr>
          <w:rFonts w:ascii="Times New Roman" w:hAnsi="Times New Roman"/>
          <w:sz w:val="20"/>
          <w:szCs w:val="20"/>
        </w:rPr>
        <w:t xml:space="preserve"> </w:t>
      </w:r>
      <w:r w:rsidRPr="00CD592F">
        <w:rPr>
          <w:rFonts w:ascii="Times New Roman" w:hAnsi="Times New Roman"/>
          <w:sz w:val="20"/>
          <w:szCs w:val="20"/>
        </w:rPr>
        <w:t xml:space="preserve">feedback timing indicator is used to indicate the slot offset between the last scheduled PDSCH and PUCCH. </w:t>
      </w:r>
    </w:p>
    <w:p w14:paraId="74BFBB81" w14:textId="75EEA0A8" w:rsidR="00AE2821" w:rsidRPr="00877500" w:rsidRDefault="00AE2821" w:rsidP="00AE2821">
      <w:pPr>
        <w:spacing w:before="240" w:after="0"/>
        <w:jc w:val="both"/>
        <w:rPr>
          <w:b/>
        </w:rPr>
      </w:pPr>
      <w:r w:rsidRPr="00877500">
        <w:rPr>
          <w:b/>
        </w:rPr>
        <w:t xml:space="preserve">Proposal </w:t>
      </w:r>
      <w:r>
        <w:rPr>
          <w:b/>
        </w:rPr>
        <w:t>4</w:t>
      </w:r>
    </w:p>
    <w:p w14:paraId="7A894B8E" w14:textId="77777777" w:rsidR="00AE2821" w:rsidRPr="00EA3D94" w:rsidRDefault="00AE2821" w:rsidP="00AE2821">
      <w:pPr>
        <w:pStyle w:val="ListParagraph"/>
        <w:numPr>
          <w:ilvl w:val="0"/>
          <w:numId w:val="29"/>
        </w:numPr>
        <w:rPr>
          <w:rFonts w:ascii="Times New Roman" w:hAnsi="Times New Roman"/>
          <w:sz w:val="20"/>
          <w:szCs w:val="20"/>
        </w:rPr>
      </w:pPr>
      <w:r w:rsidRPr="00EA3D94">
        <w:rPr>
          <w:rFonts w:ascii="Times New Roman" w:hAnsi="Times New Roman"/>
          <w:sz w:val="20"/>
          <w:szCs w:val="20"/>
        </w:rPr>
        <w:t xml:space="preserve">For multi-PDSCH scheduling, </w:t>
      </w:r>
    </w:p>
    <w:p w14:paraId="002484FF"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 xml:space="preserve">Time domain bundling of HARQ-ACK feedback is supported. </w:t>
      </w:r>
    </w:p>
    <w:p w14:paraId="140EC83D"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If CBG based transmission is configured, HARQ-ACK feedback for multi-PDSCH scheduling is included in the sub-codebook which carries HARQ-ACK feedback for CBG based transmission.</w:t>
      </w:r>
    </w:p>
    <w:p w14:paraId="162475F9" w14:textId="77777777" w:rsidR="00AE2821" w:rsidRPr="00CD592F" w:rsidRDefault="00AE2821" w:rsidP="00AE2821">
      <w:pPr>
        <w:pStyle w:val="ListParagraph"/>
        <w:numPr>
          <w:ilvl w:val="1"/>
          <w:numId w:val="29"/>
        </w:numPr>
        <w:rPr>
          <w:rFonts w:ascii="Times New Roman" w:hAnsi="Times New Roman"/>
          <w:sz w:val="20"/>
          <w:szCs w:val="20"/>
        </w:rPr>
      </w:pPr>
      <w:r w:rsidRPr="00CD592F">
        <w:rPr>
          <w:rFonts w:ascii="Times New Roman" w:hAnsi="Times New Roman"/>
          <w:sz w:val="20"/>
          <w:szCs w:val="20"/>
        </w:rPr>
        <w:t xml:space="preserve">If CBG based transmission is not configured, HARQ-ACK feedback for multi-PDSCH scheduling is included in </w:t>
      </w:r>
    </w:p>
    <w:p w14:paraId="0FCEA0F1" w14:textId="77777777" w:rsidR="00AE2821" w:rsidRPr="00CD592F" w:rsidRDefault="00AE2821" w:rsidP="00AE2821">
      <w:pPr>
        <w:pStyle w:val="ListParagraph"/>
        <w:numPr>
          <w:ilvl w:val="2"/>
          <w:numId w:val="29"/>
        </w:numPr>
        <w:rPr>
          <w:rFonts w:ascii="Times New Roman" w:hAnsi="Times New Roman"/>
          <w:sz w:val="20"/>
          <w:szCs w:val="20"/>
        </w:rPr>
      </w:pPr>
      <w:r w:rsidRPr="00CD592F">
        <w:rPr>
          <w:rFonts w:ascii="Times New Roman" w:hAnsi="Times New Roman"/>
          <w:sz w:val="20"/>
          <w:szCs w:val="20"/>
        </w:rPr>
        <w:t>the sub-codebook for TB-based HARQ-ACK if up to two PDSCHs are scheduled;</w:t>
      </w:r>
    </w:p>
    <w:p w14:paraId="0500EE2A" w14:textId="77777777" w:rsidR="00AE2821" w:rsidRPr="00CD592F" w:rsidRDefault="00AE2821" w:rsidP="00AE2821">
      <w:pPr>
        <w:pStyle w:val="ListParagraph"/>
        <w:numPr>
          <w:ilvl w:val="2"/>
          <w:numId w:val="29"/>
        </w:numPr>
        <w:rPr>
          <w:rFonts w:ascii="Times New Roman" w:hAnsi="Times New Roman"/>
          <w:sz w:val="20"/>
          <w:szCs w:val="20"/>
        </w:rPr>
      </w:pPr>
      <w:r w:rsidRPr="00CD592F">
        <w:rPr>
          <w:rFonts w:ascii="Times New Roman" w:hAnsi="Times New Roman"/>
          <w:sz w:val="20"/>
          <w:szCs w:val="20"/>
        </w:rPr>
        <w:t xml:space="preserve">otherwise, the sub-codebook for CBG-based HARQ-ACK. </w:t>
      </w:r>
    </w:p>
    <w:p w14:paraId="7C3768E3" w14:textId="77777777" w:rsidR="00AE2821" w:rsidRDefault="00AE2821" w:rsidP="000D0F94"/>
    <w:p w14:paraId="77D6D1ED" w14:textId="0B974BC3" w:rsidR="000D0F94" w:rsidRDefault="000D0F94" w:rsidP="000D0F94">
      <w:pPr>
        <w:overflowPunct/>
        <w:autoSpaceDE/>
        <w:autoSpaceDN/>
        <w:adjustRightInd/>
        <w:spacing w:before="60" w:after="120"/>
        <w:jc w:val="both"/>
        <w:textAlignment w:val="auto"/>
        <w:rPr>
          <w:lang w:eastAsia="x-none"/>
        </w:rPr>
      </w:pPr>
      <w:r w:rsidRPr="000F5F6A">
        <w:rPr>
          <w:b/>
          <w:bCs/>
          <w:lang w:eastAsia="x-none"/>
        </w:rPr>
        <w:t xml:space="preserve">Proposal </w:t>
      </w:r>
      <w:r w:rsidR="00AE2821">
        <w:rPr>
          <w:b/>
          <w:bCs/>
          <w:lang w:eastAsia="x-none"/>
        </w:rPr>
        <w:t>5</w:t>
      </w:r>
      <w:r w:rsidRPr="000F5F6A">
        <w:rPr>
          <w:b/>
          <w:bCs/>
          <w:lang w:eastAsia="x-none"/>
        </w:rPr>
        <w:t>:</w:t>
      </w:r>
      <w:r>
        <w:rPr>
          <w:lang w:eastAsia="x-none"/>
        </w:rPr>
        <w:t xml:space="preserve"> Indicate to UE that CDM groups, signaled in scheduling DCI, do not contain potential co-scheduled DMRS.</w:t>
      </w:r>
    </w:p>
    <w:p w14:paraId="449DE13E" w14:textId="77777777" w:rsidR="000D0F94" w:rsidRPr="00406E5F" w:rsidRDefault="000D0F94" w:rsidP="00406E5F"/>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5D0E4ED7" w14:textId="77777777" w:rsidR="0072135E" w:rsidRDefault="0072135E" w:rsidP="0072135E">
      <w:pPr>
        <w:widowControl w:val="0"/>
        <w:numPr>
          <w:ilvl w:val="0"/>
          <w:numId w:val="4"/>
        </w:numPr>
        <w:overflowPunct/>
        <w:autoSpaceDE/>
        <w:adjustRightInd/>
        <w:spacing w:after="120"/>
        <w:jc w:val="both"/>
        <w:textAlignment w:val="auto"/>
        <w:rPr>
          <w:lang w:eastAsia="zh-CN"/>
        </w:rPr>
      </w:pPr>
      <w:bookmarkStart w:id="13" w:name="_Ref47259910"/>
      <w:bookmarkStart w:id="14" w:name="_Ref20730972"/>
      <w:bookmarkStart w:id="15" w:name="_Ref16193927"/>
      <w:bookmarkStart w:id="16" w:name="_Ref6926730"/>
      <w:bookmarkStart w:id="17" w:name="_Ref7107393"/>
      <w:bookmarkStart w:id="18" w:name="_Ref521318726"/>
      <w:bookmarkStart w:id="19" w:name="_Ref524340861"/>
      <w:bookmarkStart w:id="20" w:name="_Ref510774888"/>
      <w:bookmarkStart w:id="21" w:name="_Ref3884257"/>
      <w:r w:rsidRPr="00801A2F">
        <w:rPr>
          <w:lang w:eastAsia="zh-CN"/>
        </w:rPr>
        <w:t>RP-202925</w:t>
      </w:r>
      <w:r>
        <w:rPr>
          <w:lang w:eastAsia="zh-CN"/>
        </w:rPr>
        <w:t>, “</w:t>
      </w:r>
      <w:r w:rsidRPr="00801A2F">
        <w:rPr>
          <w:lang w:eastAsia="zh-CN"/>
        </w:rPr>
        <w:t>Revised WID: Extending current NR operation to 71GHz</w:t>
      </w:r>
      <w:r>
        <w:rPr>
          <w:lang w:eastAsia="zh-CN"/>
        </w:rPr>
        <w:t xml:space="preserve">,” </w:t>
      </w:r>
      <w:r w:rsidRPr="00801A2F">
        <w:rPr>
          <w:lang w:eastAsia="zh-CN"/>
        </w:rPr>
        <w:t>CMCC</w:t>
      </w:r>
    </w:p>
    <w:bookmarkEnd w:id="13"/>
    <w:bookmarkEnd w:id="14"/>
    <w:bookmarkEnd w:id="15"/>
    <w:bookmarkEnd w:id="16"/>
    <w:bookmarkEnd w:id="17"/>
    <w:bookmarkEnd w:id="18"/>
    <w:bookmarkEnd w:id="19"/>
    <w:bookmarkEnd w:id="20"/>
    <w:bookmarkEnd w:id="21"/>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18"/>
      <w:headerReference w:type="default" r:id="rId19"/>
      <w:footerReference w:type="even" r:id="rId20"/>
      <w:footerReference w:type="default" r:id="rId21"/>
      <w:headerReference w:type="first" r:id="rId22"/>
      <w:footerReference w:type="firs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565C3" w14:textId="77777777" w:rsidR="00FA677C" w:rsidRDefault="00FA677C">
      <w:r>
        <w:separator/>
      </w:r>
    </w:p>
  </w:endnote>
  <w:endnote w:type="continuationSeparator" w:id="0">
    <w:p w14:paraId="18EBDDF9" w14:textId="77777777" w:rsidR="00FA677C" w:rsidRDefault="00FA677C">
      <w:r>
        <w:continuationSeparator/>
      </w:r>
    </w:p>
  </w:endnote>
  <w:endnote w:type="continuationNotice" w:id="1">
    <w:p w14:paraId="7E77E662" w14:textId="77777777" w:rsidR="00FA677C" w:rsidRDefault="00FA6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FE4B08" w:rsidRDefault="00FE4B0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FE4B08" w:rsidRDefault="00FE4B0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FE4B08" w:rsidRDefault="00FE4B0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D4FD4" w14:textId="77777777" w:rsidR="00FE4B08" w:rsidRDefault="00FE4B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AC1B0" w14:textId="77777777" w:rsidR="00FA677C" w:rsidRDefault="00FA677C">
      <w:r>
        <w:separator/>
      </w:r>
    </w:p>
  </w:footnote>
  <w:footnote w:type="continuationSeparator" w:id="0">
    <w:p w14:paraId="647C5D5D" w14:textId="77777777" w:rsidR="00FA677C" w:rsidRDefault="00FA677C">
      <w:r>
        <w:continuationSeparator/>
      </w:r>
    </w:p>
  </w:footnote>
  <w:footnote w:type="continuationNotice" w:id="1">
    <w:p w14:paraId="0A650EE0" w14:textId="77777777" w:rsidR="00FA677C" w:rsidRDefault="00FA67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FE4B08" w:rsidRDefault="00FE4B08">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64D05" w14:textId="77777777" w:rsidR="00FE4B08" w:rsidRDefault="00FE4B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F3F5E9" w14:textId="77777777" w:rsidR="00FE4B08" w:rsidRDefault="00FE4B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57773D7"/>
    <w:multiLevelType w:val="hybridMultilevel"/>
    <w:tmpl w:val="B2F29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DBC0E6E"/>
    <w:multiLevelType w:val="hybridMultilevel"/>
    <w:tmpl w:val="1B060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D406F8"/>
    <w:multiLevelType w:val="hybridMultilevel"/>
    <w:tmpl w:val="7374BC6E"/>
    <w:lvl w:ilvl="0" w:tplc="04090001">
      <w:start w:val="1"/>
      <w:numFmt w:val="bullet"/>
      <w:lvlText w:val=""/>
      <w:lvlJc w:val="left"/>
      <w:pPr>
        <w:ind w:left="720" w:hanging="360"/>
      </w:pPr>
      <w:rPr>
        <w:rFonts w:ascii="Symbol" w:hAnsi="Symbol" w:hint="default"/>
      </w:rPr>
    </w:lvl>
    <w:lvl w:ilvl="1" w:tplc="4F328ED2">
      <w:start w:val="1"/>
      <w:numFmt w:val="bullet"/>
      <w:lvlText w:val="o"/>
      <w:lvlJc w:val="left"/>
      <w:pPr>
        <w:ind w:left="1440" w:hanging="720"/>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9" w15:restartNumberingAfterBreak="0">
    <w:nsid w:val="66256160"/>
    <w:multiLevelType w:val="hybridMultilevel"/>
    <w:tmpl w:val="F586B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4"/>
  </w:num>
  <w:num w:numId="3">
    <w:abstractNumId w:val="22"/>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
  </w:num>
  <w:num w:numId="7">
    <w:abstractNumId w:val="5"/>
  </w:num>
  <w:num w:numId="8">
    <w:abstractNumId w:val="21"/>
  </w:num>
  <w:num w:numId="9">
    <w:abstractNumId w:val="11"/>
  </w:num>
  <w:num w:numId="10">
    <w:abstractNumId w:val="4"/>
  </w:num>
  <w:num w:numId="11">
    <w:abstractNumId w:val="12"/>
  </w:num>
  <w:num w:numId="12">
    <w:abstractNumId w:val="15"/>
  </w:num>
  <w:num w:numId="13">
    <w:abstractNumId w:val="20"/>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0"/>
  </w:num>
  <w:num w:numId="27">
    <w:abstractNumId w:val="13"/>
  </w:num>
  <w:num w:numId="28">
    <w:abstractNumId w:val="17"/>
  </w:num>
  <w:num w:numId="29">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AF1"/>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DB"/>
    <w:rsid w:val="000074F2"/>
    <w:rsid w:val="0000759D"/>
    <w:rsid w:val="00007681"/>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A6B"/>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3D1"/>
    <w:rsid w:val="00023400"/>
    <w:rsid w:val="00023435"/>
    <w:rsid w:val="00023547"/>
    <w:rsid w:val="00023625"/>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390"/>
    <w:rsid w:val="0003540B"/>
    <w:rsid w:val="0003587D"/>
    <w:rsid w:val="000358AE"/>
    <w:rsid w:val="00035B7A"/>
    <w:rsid w:val="00035CAB"/>
    <w:rsid w:val="00035D4F"/>
    <w:rsid w:val="00036015"/>
    <w:rsid w:val="000360D4"/>
    <w:rsid w:val="000361AB"/>
    <w:rsid w:val="0003628A"/>
    <w:rsid w:val="000363A8"/>
    <w:rsid w:val="00036416"/>
    <w:rsid w:val="00036A16"/>
    <w:rsid w:val="00036B6F"/>
    <w:rsid w:val="00036BE6"/>
    <w:rsid w:val="00036C45"/>
    <w:rsid w:val="00036CDD"/>
    <w:rsid w:val="00036D9D"/>
    <w:rsid w:val="00036FA7"/>
    <w:rsid w:val="00036FC6"/>
    <w:rsid w:val="00037118"/>
    <w:rsid w:val="00037628"/>
    <w:rsid w:val="000377E3"/>
    <w:rsid w:val="00037910"/>
    <w:rsid w:val="00037A21"/>
    <w:rsid w:val="00037D74"/>
    <w:rsid w:val="00037DA1"/>
    <w:rsid w:val="00037F3F"/>
    <w:rsid w:val="000401C5"/>
    <w:rsid w:val="00040316"/>
    <w:rsid w:val="000404F2"/>
    <w:rsid w:val="00040B0D"/>
    <w:rsid w:val="00040C41"/>
    <w:rsid w:val="00040F7A"/>
    <w:rsid w:val="000412B7"/>
    <w:rsid w:val="000412DE"/>
    <w:rsid w:val="000413B8"/>
    <w:rsid w:val="0004182E"/>
    <w:rsid w:val="00041874"/>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1CF"/>
    <w:rsid w:val="000451E5"/>
    <w:rsid w:val="000453F6"/>
    <w:rsid w:val="0004557F"/>
    <w:rsid w:val="0004574B"/>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F18"/>
    <w:rsid w:val="00060F6C"/>
    <w:rsid w:val="00060FDB"/>
    <w:rsid w:val="000610C5"/>
    <w:rsid w:val="000612C5"/>
    <w:rsid w:val="0006131F"/>
    <w:rsid w:val="00061429"/>
    <w:rsid w:val="000615AB"/>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463"/>
    <w:rsid w:val="0006549C"/>
    <w:rsid w:val="00065D64"/>
    <w:rsid w:val="00065E53"/>
    <w:rsid w:val="000665D1"/>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6FB"/>
    <w:rsid w:val="000718D9"/>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F77"/>
    <w:rsid w:val="00074375"/>
    <w:rsid w:val="000743A0"/>
    <w:rsid w:val="00074475"/>
    <w:rsid w:val="00074B80"/>
    <w:rsid w:val="00074BF5"/>
    <w:rsid w:val="00074C31"/>
    <w:rsid w:val="000752CD"/>
    <w:rsid w:val="000755A6"/>
    <w:rsid w:val="00075680"/>
    <w:rsid w:val="0007590A"/>
    <w:rsid w:val="00075999"/>
    <w:rsid w:val="00075E9B"/>
    <w:rsid w:val="0007615F"/>
    <w:rsid w:val="000763B8"/>
    <w:rsid w:val="00076903"/>
    <w:rsid w:val="00076C52"/>
    <w:rsid w:val="00076DEE"/>
    <w:rsid w:val="00076FD2"/>
    <w:rsid w:val="00077579"/>
    <w:rsid w:val="00077EBA"/>
    <w:rsid w:val="000802A2"/>
    <w:rsid w:val="00080477"/>
    <w:rsid w:val="000804B1"/>
    <w:rsid w:val="000805B2"/>
    <w:rsid w:val="00080786"/>
    <w:rsid w:val="00080B5D"/>
    <w:rsid w:val="00080D74"/>
    <w:rsid w:val="00081457"/>
    <w:rsid w:val="000819A2"/>
    <w:rsid w:val="00081B40"/>
    <w:rsid w:val="00081CDB"/>
    <w:rsid w:val="00081D44"/>
    <w:rsid w:val="00082152"/>
    <w:rsid w:val="0008221F"/>
    <w:rsid w:val="00082261"/>
    <w:rsid w:val="00082311"/>
    <w:rsid w:val="00082607"/>
    <w:rsid w:val="000826FF"/>
    <w:rsid w:val="000827D8"/>
    <w:rsid w:val="00082A49"/>
    <w:rsid w:val="00082CD1"/>
    <w:rsid w:val="00082E14"/>
    <w:rsid w:val="00083205"/>
    <w:rsid w:val="00083322"/>
    <w:rsid w:val="00083788"/>
    <w:rsid w:val="00083C04"/>
    <w:rsid w:val="00083C4F"/>
    <w:rsid w:val="00084255"/>
    <w:rsid w:val="000842E8"/>
    <w:rsid w:val="000844CD"/>
    <w:rsid w:val="00084515"/>
    <w:rsid w:val="000845CA"/>
    <w:rsid w:val="00084CE4"/>
    <w:rsid w:val="00084D2E"/>
    <w:rsid w:val="00085239"/>
    <w:rsid w:val="00085352"/>
    <w:rsid w:val="000855FF"/>
    <w:rsid w:val="00085703"/>
    <w:rsid w:val="00085860"/>
    <w:rsid w:val="00085A20"/>
    <w:rsid w:val="00085C0E"/>
    <w:rsid w:val="00085CFF"/>
    <w:rsid w:val="00085D76"/>
    <w:rsid w:val="00085E75"/>
    <w:rsid w:val="000862BA"/>
    <w:rsid w:val="00086B50"/>
    <w:rsid w:val="00086C4D"/>
    <w:rsid w:val="00086CF2"/>
    <w:rsid w:val="00086D50"/>
    <w:rsid w:val="0008731C"/>
    <w:rsid w:val="0008760B"/>
    <w:rsid w:val="00087881"/>
    <w:rsid w:val="0008794B"/>
    <w:rsid w:val="00087BAB"/>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E8"/>
    <w:rsid w:val="00097BFB"/>
    <w:rsid w:val="000A02DC"/>
    <w:rsid w:val="000A0439"/>
    <w:rsid w:val="000A0702"/>
    <w:rsid w:val="000A070B"/>
    <w:rsid w:val="000A0C1B"/>
    <w:rsid w:val="000A0C9D"/>
    <w:rsid w:val="000A0CA1"/>
    <w:rsid w:val="000A0E99"/>
    <w:rsid w:val="000A0EC0"/>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CB"/>
    <w:rsid w:val="000A64B8"/>
    <w:rsid w:val="000A6788"/>
    <w:rsid w:val="000A67DE"/>
    <w:rsid w:val="000A6AC6"/>
    <w:rsid w:val="000A6AD7"/>
    <w:rsid w:val="000A6BAA"/>
    <w:rsid w:val="000A6CFE"/>
    <w:rsid w:val="000A6D27"/>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D97"/>
    <w:rsid w:val="000B4E43"/>
    <w:rsid w:val="000B520D"/>
    <w:rsid w:val="000B53AF"/>
    <w:rsid w:val="000B546F"/>
    <w:rsid w:val="000B5EAC"/>
    <w:rsid w:val="000B60B9"/>
    <w:rsid w:val="000B65B6"/>
    <w:rsid w:val="000B65BE"/>
    <w:rsid w:val="000B68A5"/>
    <w:rsid w:val="000B6A44"/>
    <w:rsid w:val="000B6BDF"/>
    <w:rsid w:val="000B6C26"/>
    <w:rsid w:val="000B7190"/>
    <w:rsid w:val="000B71B6"/>
    <w:rsid w:val="000B7387"/>
    <w:rsid w:val="000B75A8"/>
    <w:rsid w:val="000B76BB"/>
    <w:rsid w:val="000B78AF"/>
    <w:rsid w:val="000B7D5E"/>
    <w:rsid w:val="000C0680"/>
    <w:rsid w:val="000C0856"/>
    <w:rsid w:val="000C0882"/>
    <w:rsid w:val="000C09A5"/>
    <w:rsid w:val="000C09BD"/>
    <w:rsid w:val="000C09F9"/>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35D"/>
    <w:rsid w:val="000C33D0"/>
    <w:rsid w:val="000C33E4"/>
    <w:rsid w:val="000C34FD"/>
    <w:rsid w:val="000C361B"/>
    <w:rsid w:val="000C361E"/>
    <w:rsid w:val="000C393F"/>
    <w:rsid w:val="000C3987"/>
    <w:rsid w:val="000C3C64"/>
    <w:rsid w:val="000C3F16"/>
    <w:rsid w:val="000C408A"/>
    <w:rsid w:val="000C42E9"/>
    <w:rsid w:val="000C4367"/>
    <w:rsid w:val="000C43C8"/>
    <w:rsid w:val="000C47AD"/>
    <w:rsid w:val="000C47E3"/>
    <w:rsid w:val="000C4824"/>
    <w:rsid w:val="000C4C76"/>
    <w:rsid w:val="000C5046"/>
    <w:rsid w:val="000C547D"/>
    <w:rsid w:val="000C550B"/>
    <w:rsid w:val="000C570E"/>
    <w:rsid w:val="000C5759"/>
    <w:rsid w:val="000C575E"/>
    <w:rsid w:val="000C5A03"/>
    <w:rsid w:val="000C5A71"/>
    <w:rsid w:val="000C5C09"/>
    <w:rsid w:val="000C5C2F"/>
    <w:rsid w:val="000C5C73"/>
    <w:rsid w:val="000C5E7D"/>
    <w:rsid w:val="000C5ED6"/>
    <w:rsid w:val="000C5F6B"/>
    <w:rsid w:val="000C6672"/>
    <w:rsid w:val="000C66CD"/>
    <w:rsid w:val="000C673C"/>
    <w:rsid w:val="000C69F8"/>
    <w:rsid w:val="000C6B75"/>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4"/>
    <w:rsid w:val="000D0F9A"/>
    <w:rsid w:val="000D117E"/>
    <w:rsid w:val="000D11D7"/>
    <w:rsid w:val="000D148D"/>
    <w:rsid w:val="000D14EB"/>
    <w:rsid w:val="000D1610"/>
    <w:rsid w:val="000D1634"/>
    <w:rsid w:val="000D1737"/>
    <w:rsid w:val="000D174E"/>
    <w:rsid w:val="000D17D3"/>
    <w:rsid w:val="000D17FE"/>
    <w:rsid w:val="000D1899"/>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CE"/>
    <w:rsid w:val="000D37FA"/>
    <w:rsid w:val="000D3A1D"/>
    <w:rsid w:val="000D3A6C"/>
    <w:rsid w:val="000D3AB8"/>
    <w:rsid w:val="000D41FC"/>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7D9"/>
    <w:rsid w:val="000D7C7C"/>
    <w:rsid w:val="000D7FF4"/>
    <w:rsid w:val="000E011D"/>
    <w:rsid w:val="000E03D4"/>
    <w:rsid w:val="000E052F"/>
    <w:rsid w:val="000E064A"/>
    <w:rsid w:val="000E0940"/>
    <w:rsid w:val="000E1059"/>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B40"/>
    <w:rsid w:val="000F3FFF"/>
    <w:rsid w:val="000F428E"/>
    <w:rsid w:val="000F42EA"/>
    <w:rsid w:val="000F4832"/>
    <w:rsid w:val="000F4CAF"/>
    <w:rsid w:val="000F4D36"/>
    <w:rsid w:val="000F4F44"/>
    <w:rsid w:val="000F53CB"/>
    <w:rsid w:val="000F57A9"/>
    <w:rsid w:val="000F5F6A"/>
    <w:rsid w:val="000F61C4"/>
    <w:rsid w:val="000F6646"/>
    <w:rsid w:val="000F6881"/>
    <w:rsid w:val="000F68B6"/>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6E"/>
    <w:rsid w:val="00107CC7"/>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0EA"/>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28D"/>
    <w:rsid w:val="001203DB"/>
    <w:rsid w:val="00120579"/>
    <w:rsid w:val="0012057D"/>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AC"/>
    <w:rsid w:val="00122EB3"/>
    <w:rsid w:val="00122EEC"/>
    <w:rsid w:val="00123132"/>
    <w:rsid w:val="0012328F"/>
    <w:rsid w:val="0012345C"/>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432"/>
    <w:rsid w:val="0012654B"/>
    <w:rsid w:val="00126EBE"/>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AC6"/>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441"/>
    <w:rsid w:val="001345D5"/>
    <w:rsid w:val="00134686"/>
    <w:rsid w:val="00134E73"/>
    <w:rsid w:val="00134E85"/>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85"/>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F1"/>
    <w:rsid w:val="00141164"/>
    <w:rsid w:val="001411F6"/>
    <w:rsid w:val="001412EB"/>
    <w:rsid w:val="001418C8"/>
    <w:rsid w:val="001418FE"/>
    <w:rsid w:val="00141BB7"/>
    <w:rsid w:val="00141E46"/>
    <w:rsid w:val="0014201F"/>
    <w:rsid w:val="0014206B"/>
    <w:rsid w:val="00142093"/>
    <w:rsid w:val="0014226A"/>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ECB"/>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11A"/>
    <w:rsid w:val="00167614"/>
    <w:rsid w:val="0016764C"/>
    <w:rsid w:val="00167709"/>
    <w:rsid w:val="00167BD9"/>
    <w:rsid w:val="00170397"/>
    <w:rsid w:val="001703F5"/>
    <w:rsid w:val="001706E4"/>
    <w:rsid w:val="001708D0"/>
    <w:rsid w:val="0017093A"/>
    <w:rsid w:val="00170C49"/>
    <w:rsid w:val="00170D60"/>
    <w:rsid w:val="001716A7"/>
    <w:rsid w:val="00171944"/>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77FB6"/>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2E"/>
    <w:rsid w:val="00183BFC"/>
    <w:rsid w:val="00183CC6"/>
    <w:rsid w:val="00183D8A"/>
    <w:rsid w:val="00183E3A"/>
    <w:rsid w:val="00183E8B"/>
    <w:rsid w:val="00183F11"/>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205"/>
    <w:rsid w:val="00190307"/>
    <w:rsid w:val="00190705"/>
    <w:rsid w:val="00190927"/>
    <w:rsid w:val="00190BD5"/>
    <w:rsid w:val="00190BE0"/>
    <w:rsid w:val="00190FB0"/>
    <w:rsid w:val="00191326"/>
    <w:rsid w:val="00191719"/>
    <w:rsid w:val="00191727"/>
    <w:rsid w:val="00191845"/>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21"/>
    <w:rsid w:val="001A067A"/>
    <w:rsid w:val="001A0A94"/>
    <w:rsid w:val="001A0C3F"/>
    <w:rsid w:val="001A0EFE"/>
    <w:rsid w:val="001A119D"/>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EDF"/>
    <w:rsid w:val="001A5070"/>
    <w:rsid w:val="001A50FB"/>
    <w:rsid w:val="001A5174"/>
    <w:rsid w:val="001A527B"/>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5F"/>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785"/>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47D"/>
    <w:rsid w:val="001B45F7"/>
    <w:rsid w:val="001B485D"/>
    <w:rsid w:val="001B490E"/>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F5F"/>
    <w:rsid w:val="001C4F99"/>
    <w:rsid w:val="001C518A"/>
    <w:rsid w:val="001C562E"/>
    <w:rsid w:val="001C589B"/>
    <w:rsid w:val="001C58A6"/>
    <w:rsid w:val="001C58F7"/>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335"/>
    <w:rsid w:val="001D0474"/>
    <w:rsid w:val="001D0578"/>
    <w:rsid w:val="001D0593"/>
    <w:rsid w:val="001D05AA"/>
    <w:rsid w:val="001D0D8F"/>
    <w:rsid w:val="001D1258"/>
    <w:rsid w:val="001D13B0"/>
    <w:rsid w:val="001D149E"/>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66E"/>
    <w:rsid w:val="001D3A43"/>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406B"/>
    <w:rsid w:val="001F4157"/>
    <w:rsid w:val="001F45E8"/>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C2D"/>
    <w:rsid w:val="001F6E45"/>
    <w:rsid w:val="001F715C"/>
    <w:rsid w:val="001F72B8"/>
    <w:rsid w:val="001F7308"/>
    <w:rsid w:val="001F7317"/>
    <w:rsid w:val="001F73C3"/>
    <w:rsid w:val="001F757C"/>
    <w:rsid w:val="001F77B7"/>
    <w:rsid w:val="001F784C"/>
    <w:rsid w:val="001F798D"/>
    <w:rsid w:val="001F7DD6"/>
    <w:rsid w:val="002000F2"/>
    <w:rsid w:val="002000FC"/>
    <w:rsid w:val="0020037C"/>
    <w:rsid w:val="00200925"/>
    <w:rsid w:val="00200A86"/>
    <w:rsid w:val="00200A92"/>
    <w:rsid w:val="00200BF9"/>
    <w:rsid w:val="00200C25"/>
    <w:rsid w:val="002011B8"/>
    <w:rsid w:val="0020129C"/>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57"/>
    <w:rsid w:val="00207BB9"/>
    <w:rsid w:val="00207D51"/>
    <w:rsid w:val="00207D9D"/>
    <w:rsid w:val="00207EB6"/>
    <w:rsid w:val="00210018"/>
    <w:rsid w:val="00210058"/>
    <w:rsid w:val="00210174"/>
    <w:rsid w:val="002105F8"/>
    <w:rsid w:val="002109D5"/>
    <w:rsid w:val="00210A2E"/>
    <w:rsid w:val="00210BF3"/>
    <w:rsid w:val="00210C84"/>
    <w:rsid w:val="00210C91"/>
    <w:rsid w:val="00210F42"/>
    <w:rsid w:val="00211042"/>
    <w:rsid w:val="002110B3"/>
    <w:rsid w:val="002112E4"/>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FC9"/>
    <w:rsid w:val="0022310A"/>
    <w:rsid w:val="002231AD"/>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0D"/>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19C"/>
    <w:rsid w:val="002373FC"/>
    <w:rsid w:val="002375A3"/>
    <w:rsid w:val="0023776F"/>
    <w:rsid w:val="00237C6F"/>
    <w:rsid w:val="00237D22"/>
    <w:rsid w:val="00237D27"/>
    <w:rsid w:val="00237DB3"/>
    <w:rsid w:val="00240240"/>
    <w:rsid w:val="00240387"/>
    <w:rsid w:val="00240784"/>
    <w:rsid w:val="002407DD"/>
    <w:rsid w:val="00240921"/>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EB6"/>
    <w:rsid w:val="002471AB"/>
    <w:rsid w:val="0024722A"/>
    <w:rsid w:val="00247401"/>
    <w:rsid w:val="0024775B"/>
    <w:rsid w:val="0024785A"/>
    <w:rsid w:val="00247869"/>
    <w:rsid w:val="00247B11"/>
    <w:rsid w:val="00247C82"/>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10C"/>
    <w:rsid w:val="002547E4"/>
    <w:rsid w:val="00254F42"/>
    <w:rsid w:val="002554A7"/>
    <w:rsid w:val="002554EF"/>
    <w:rsid w:val="0025585C"/>
    <w:rsid w:val="00255BD7"/>
    <w:rsid w:val="00255C71"/>
    <w:rsid w:val="002562A9"/>
    <w:rsid w:val="002563B9"/>
    <w:rsid w:val="0025692A"/>
    <w:rsid w:val="00256F02"/>
    <w:rsid w:val="002571C8"/>
    <w:rsid w:val="002572F1"/>
    <w:rsid w:val="00257424"/>
    <w:rsid w:val="00257730"/>
    <w:rsid w:val="00257A62"/>
    <w:rsid w:val="00257B06"/>
    <w:rsid w:val="00257B64"/>
    <w:rsid w:val="00260156"/>
    <w:rsid w:val="0026029A"/>
    <w:rsid w:val="002606C7"/>
    <w:rsid w:val="0026075E"/>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68E"/>
    <w:rsid w:val="0027083A"/>
    <w:rsid w:val="00270A64"/>
    <w:rsid w:val="00270C63"/>
    <w:rsid w:val="00270C68"/>
    <w:rsid w:val="00270C98"/>
    <w:rsid w:val="00270E57"/>
    <w:rsid w:val="00270F4C"/>
    <w:rsid w:val="002710CE"/>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BF8"/>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187E"/>
    <w:rsid w:val="0028192B"/>
    <w:rsid w:val="002819F7"/>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8D1"/>
    <w:rsid w:val="00286B14"/>
    <w:rsid w:val="00286CFC"/>
    <w:rsid w:val="00286F76"/>
    <w:rsid w:val="002871DE"/>
    <w:rsid w:val="00287376"/>
    <w:rsid w:val="002876D5"/>
    <w:rsid w:val="0028773B"/>
    <w:rsid w:val="002877DE"/>
    <w:rsid w:val="00287A82"/>
    <w:rsid w:val="00287C28"/>
    <w:rsid w:val="00290097"/>
    <w:rsid w:val="0029018C"/>
    <w:rsid w:val="00290254"/>
    <w:rsid w:val="002903B3"/>
    <w:rsid w:val="002904AA"/>
    <w:rsid w:val="002913D7"/>
    <w:rsid w:val="002914FA"/>
    <w:rsid w:val="0029178F"/>
    <w:rsid w:val="00291B01"/>
    <w:rsid w:val="00292040"/>
    <w:rsid w:val="002922DD"/>
    <w:rsid w:val="00292916"/>
    <w:rsid w:val="00292A0F"/>
    <w:rsid w:val="00292DCE"/>
    <w:rsid w:val="00292E94"/>
    <w:rsid w:val="00292F1C"/>
    <w:rsid w:val="002932A8"/>
    <w:rsid w:val="002933EB"/>
    <w:rsid w:val="002934A8"/>
    <w:rsid w:val="00293504"/>
    <w:rsid w:val="00293626"/>
    <w:rsid w:val="0029378E"/>
    <w:rsid w:val="0029395E"/>
    <w:rsid w:val="00293B67"/>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CC2"/>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19"/>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028"/>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B6"/>
    <w:rsid w:val="002A6354"/>
    <w:rsid w:val="002A6B25"/>
    <w:rsid w:val="002A6BE8"/>
    <w:rsid w:val="002A6E7E"/>
    <w:rsid w:val="002A710C"/>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970"/>
    <w:rsid w:val="002B0AC4"/>
    <w:rsid w:val="002B0C8A"/>
    <w:rsid w:val="002B0C99"/>
    <w:rsid w:val="002B0EDA"/>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B0D"/>
    <w:rsid w:val="002B4C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58"/>
    <w:rsid w:val="002C487B"/>
    <w:rsid w:val="002C4950"/>
    <w:rsid w:val="002C50DC"/>
    <w:rsid w:val="002C514C"/>
    <w:rsid w:val="002C5533"/>
    <w:rsid w:val="002C557B"/>
    <w:rsid w:val="002C5620"/>
    <w:rsid w:val="002C5A66"/>
    <w:rsid w:val="002C5A6B"/>
    <w:rsid w:val="002C5AA7"/>
    <w:rsid w:val="002C5AE6"/>
    <w:rsid w:val="002C6030"/>
    <w:rsid w:val="002C60E1"/>
    <w:rsid w:val="002C61E0"/>
    <w:rsid w:val="002C635E"/>
    <w:rsid w:val="002C6480"/>
    <w:rsid w:val="002C6682"/>
    <w:rsid w:val="002C6C24"/>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5A"/>
    <w:rsid w:val="002D4322"/>
    <w:rsid w:val="002D47FC"/>
    <w:rsid w:val="002D4A54"/>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6CE"/>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BF"/>
    <w:rsid w:val="002E60F3"/>
    <w:rsid w:val="002E63A6"/>
    <w:rsid w:val="002E6785"/>
    <w:rsid w:val="002E679D"/>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EBD"/>
    <w:rsid w:val="002F1FB5"/>
    <w:rsid w:val="002F2193"/>
    <w:rsid w:val="002F236A"/>
    <w:rsid w:val="002F2508"/>
    <w:rsid w:val="002F2AE0"/>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672"/>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0FCE"/>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50E"/>
    <w:rsid w:val="003278C7"/>
    <w:rsid w:val="0032793B"/>
    <w:rsid w:val="00327947"/>
    <w:rsid w:val="00327AEA"/>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0C3"/>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FA6"/>
    <w:rsid w:val="0035507C"/>
    <w:rsid w:val="003552C6"/>
    <w:rsid w:val="00355342"/>
    <w:rsid w:val="00355381"/>
    <w:rsid w:val="00355612"/>
    <w:rsid w:val="003557B7"/>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271"/>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E2"/>
    <w:rsid w:val="00371DFA"/>
    <w:rsid w:val="00372029"/>
    <w:rsid w:val="003724A1"/>
    <w:rsid w:val="0037262A"/>
    <w:rsid w:val="0037276C"/>
    <w:rsid w:val="00372836"/>
    <w:rsid w:val="00372A6B"/>
    <w:rsid w:val="00372CEF"/>
    <w:rsid w:val="00372DB8"/>
    <w:rsid w:val="00372FD7"/>
    <w:rsid w:val="0037350B"/>
    <w:rsid w:val="003735AC"/>
    <w:rsid w:val="0037369C"/>
    <w:rsid w:val="003738E7"/>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0EF9"/>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B3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B8"/>
    <w:rsid w:val="00397B96"/>
    <w:rsid w:val="00397C89"/>
    <w:rsid w:val="00397FF4"/>
    <w:rsid w:val="003A0306"/>
    <w:rsid w:val="003A0311"/>
    <w:rsid w:val="003A04E0"/>
    <w:rsid w:val="003A063C"/>
    <w:rsid w:val="003A0736"/>
    <w:rsid w:val="003A07F5"/>
    <w:rsid w:val="003A0894"/>
    <w:rsid w:val="003A09A3"/>
    <w:rsid w:val="003A0E93"/>
    <w:rsid w:val="003A1135"/>
    <w:rsid w:val="003A1220"/>
    <w:rsid w:val="003A1341"/>
    <w:rsid w:val="003A162C"/>
    <w:rsid w:val="003A19E0"/>
    <w:rsid w:val="003A1DD5"/>
    <w:rsid w:val="003A2019"/>
    <w:rsid w:val="003A20FB"/>
    <w:rsid w:val="003A23FB"/>
    <w:rsid w:val="003A2647"/>
    <w:rsid w:val="003A271C"/>
    <w:rsid w:val="003A298A"/>
    <w:rsid w:val="003A2C70"/>
    <w:rsid w:val="003A2D39"/>
    <w:rsid w:val="003A2F8A"/>
    <w:rsid w:val="003A2FE7"/>
    <w:rsid w:val="003A34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330"/>
    <w:rsid w:val="003A67EA"/>
    <w:rsid w:val="003A6B90"/>
    <w:rsid w:val="003A6BC9"/>
    <w:rsid w:val="003A70CC"/>
    <w:rsid w:val="003A7239"/>
    <w:rsid w:val="003A748F"/>
    <w:rsid w:val="003A7513"/>
    <w:rsid w:val="003A762E"/>
    <w:rsid w:val="003A76A9"/>
    <w:rsid w:val="003A7747"/>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8BE"/>
    <w:rsid w:val="003B3AF8"/>
    <w:rsid w:val="003B3D57"/>
    <w:rsid w:val="003B4159"/>
    <w:rsid w:val="003B4482"/>
    <w:rsid w:val="003B4AA5"/>
    <w:rsid w:val="003B4C30"/>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24"/>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3AC"/>
    <w:rsid w:val="003D7562"/>
    <w:rsid w:val="003D77CC"/>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A9"/>
    <w:rsid w:val="003E40C9"/>
    <w:rsid w:val="003E41CD"/>
    <w:rsid w:val="003E4345"/>
    <w:rsid w:val="003E46D8"/>
    <w:rsid w:val="003E4882"/>
    <w:rsid w:val="003E48B1"/>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822"/>
    <w:rsid w:val="00401E7B"/>
    <w:rsid w:val="00401FF7"/>
    <w:rsid w:val="00402252"/>
    <w:rsid w:val="004022A0"/>
    <w:rsid w:val="00402375"/>
    <w:rsid w:val="004024AB"/>
    <w:rsid w:val="00402644"/>
    <w:rsid w:val="0040292D"/>
    <w:rsid w:val="00402EB7"/>
    <w:rsid w:val="00402EEB"/>
    <w:rsid w:val="00402F2C"/>
    <w:rsid w:val="0040303D"/>
    <w:rsid w:val="00403063"/>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D95"/>
    <w:rsid w:val="00405F90"/>
    <w:rsid w:val="004060CB"/>
    <w:rsid w:val="00406108"/>
    <w:rsid w:val="00406166"/>
    <w:rsid w:val="004062A4"/>
    <w:rsid w:val="00406412"/>
    <w:rsid w:val="004064E2"/>
    <w:rsid w:val="00406715"/>
    <w:rsid w:val="004068A5"/>
    <w:rsid w:val="00406B48"/>
    <w:rsid w:val="00406B68"/>
    <w:rsid w:val="00406E5F"/>
    <w:rsid w:val="00406F4B"/>
    <w:rsid w:val="00406FBD"/>
    <w:rsid w:val="004073B0"/>
    <w:rsid w:val="00407612"/>
    <w:rsid w:val="00407828"/>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4B86"/>
    <w:rsid w:val="00415038"/>
    <w:rsid w:val="004155FC"/>
    <w:rsid w:val="0041566F"/>
    <w:rsid w:val="00415746"/>
    <w:rsid w:val="0041577E"/>
    <w:rsid w:val="004157F6"/>
    <w:rsid w:val="00415812"/>
    <w:rsid w:val="0041583A"/>
    <w:rsid w:val="00415861"/>
    <w:rsid w:val="004159D3"/>
    <w:rsid w:val="00415A14"/>
    <w:rsid w:val="00415B80"/>
    <w:rsid w:val="00415BF9"/>
    <w:rsid w:val="00415C8F"/>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3D96"/>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9FC"/>
    <w:rsid w:val="00447B3F"/>
    <w:rsid w:val="00447CD1"/>
    <w:rsid w:val="00447D57"/>
    <w:rsid w:val="00447D79"/>
    <w:rsid w:val="004500BE"/>
    <w:rsid w:val="0045053A"/>
    <w:rsid w:val="0045058F"/>
    <w:rsid w:val="00450778"/>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101"/>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13A"/>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2F6A"/>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D52"/>
    <w:rsid w:val="00476D8B"/>
    <w:rsid w:val="00476DFA"/>
    <w:rsid w:val="00476EAE"/>
    <w:rsid w:val="00476F23"/>
    <w:rsid w:val="00477064"/>
    <w:rsid w:val="004772CF"/>
    <w:rsid w:val="004774C5"/>
    <w:rsid w:val="004775ED"/>
    <w:rsid w:val="004777C7"/>
    <w:rsid w:val="00477B19"/>
    <w:rsid w:val="00477E8F"/>
    <w:rsid w:val="00477FBA"/>
    <w:rsid w:val="004801FB"/>
    <w:rsid w:val="00480266"/>
    <w:rsid w:val="004803A9"/>
    <w:rsid w:val="004805D8"/>
    <w:rsid w:val="004807D5"/>
    <w:rsid w:val="00480B03"/>
    <w:rsid w:val="00480C23"/>
    <w:rsid w:val="004810EC"/>
    <w:rsid w:val="004814F6"/>
    <w:rsid w:val="00481607"/>
    <w:rsid w:val="0048198C"/>
    <w:rsid w:val="00481CE2"/>
    <w:rsid w:val="00481F11"/>
    <w:rsid w:val="0048220F"/>
    <w:rsid w:val="00482389"/>
    <w:rsid w:val="00482943"/>
    <w:rsid w:val="00482ADC"/>
    <w:rsid w:val="00482B1F"/>
    <w:rsid w:val="00482BAD"/>
    <w:rsid w:val="00482ECC"/>
    <w:rsid w:val="0048351D"/>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DE1"/>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12"/>
    <w:rsid w:val="00494840"/>
    <w:rsid w:val="00494BA0"/>
    <w:rsid w:val="00494E75"/>
    <w:rsid w:val="00494FE8"/>
    <w:rsid w:val="00495071"/>
    <w:rsid w:val="00495145"/>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998"/>
    <w:rsid w:val="004A1B20"/>
    <w:rsid w:val="004A1FDB"/>
    <w:rsid w:val="004A201F"/>
    <w:rsid w:val="004A23B8"/>
    <w:rsid w:val="004A23C0"/>
    <w:rsid w:val="004A23D0"/>
    <w:rsid w:val="004A2447"/>
    <w:rsid w:val="004A28D4"/>
    <w:rsid w:val="004A2908"/>
    <w:rsid w:val="004A29E4"/>
    <w:rsid w:val="004A2AD4"/>
    <w:rsid w:val="004A2B20"/>
    <w:rsid w:val="004A2B3D"/>
    <w:rsid w:val="004A2BE1"/>
    <w:rsid w:val="004A2D72"/>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CB2"/>
    <w:rsid w:val="004C1DB8"/>
    <w:rsid w:val="004C2371"/>
    <w:rsid w:val="004C249C"/>
    <w:rsid w:val="004C2A1F"/>
    <w:rsid w:val="004C2C4E"/>
    <w:rsid w:val="004C2F01"/>
    <w:rsid w:val="004C30B1"/>
    <w:rsid w:val="004C3182"/>
    <w:rsid w:val="004C321C"/>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D64"/>
    <w:rsid w:val="004D1DB5"/>
    <w:rsid w:val="004D1E85"/>
    <w:rsid w:val="004D1F08"/>
    <w:rsid w:val="004D1F6B"/>
    <w:rsid w:val="004D21C3"/>
    <w:rsid w:val="004D23B0"/>
    <w:rsid w:val="004D2474"/>
    <w:rsid w:val="004D24F2"/>
    <w:rsid w:val="004D253C"/>
    <w:rsid w:val="004D27C4"/>
    <w:rsid w:val="004D2E1A"/>
    <w:rsid w:val="004D2E57"/>
    <w:rsid w:val="004D300B"/>
    <w:rsid w:val="004D311D"/>
    <w:rsid w:val="004D3251"/>
    <w:rsid w:val="004D3680"/>
    <w:rsid w:val="004D371A"/>
    <w:rsid w:val="004D374D"/>
    <w:rsid w:val="004D392B"/>
    <w:rsid w:val="004D3C02"/>
    <w:rsid w:val="004D3CFB"/>
    <w:rsid w:val="004D427F"/>
    <w:rsid w:val="004D4768"/>
    <w:rsid w:val="004D4968"/>
    <w:rsid w:val="004D4977"/>
    <w:rsid w:val="004D4A8A"/>
    <w:rsid w:val="004D4BEA"/>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E0033"/>
    <w:rsid w:val="004E03BE"/>
    <w:rsid w:val="004E040D"/>
    <w:rsid w:val="004E06B3"/>
    <w:rsid w:val="004E0771"/>
    <w:rsid w:val="004E0B8C"/>
    <w:rsid w:val="004E0CD0"/>
    <w:rsid w:val="004E1260"/>
    <w:rsid w:val="004E1429"/>
    <w:rsid w:val="004E147C"/>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92"/>
    <w:rsid w:val="004E38FA"/>
    <w:rsid w:val="004E3DDE"/>
    <w:rsid w:val="004E3FD8"/>
    <w:rsid w:val="004E4102"/>
    <w:rsid w:val="004E4447"/>
    <w:rsid w:val="004E471C"/>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AF2"/>
    <w:rsid w:val="004E7B7F"/>
    <w:rsid w:val="004E7E24"/>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AF8"/>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4DE"/>
    <w:rsid w:val="004F55E1"/>
    <w:rsid w:val="004F580A"/>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55"/>
    <w:rsid w:val="005051F4"/>
    <w:rsid w:val="005055CD"/>
    <w:rsid w:val="00505712"/>
    <w:rsid w:val="00505A2A"/>
    <w:rsid w:val="00505E39"/>
    <w:rsid w:val="0050600C"/>
    <w:rsid w:val="0050614B"/>
    <w:rsid w:val="005062FC"/>
    <w:rsid w:val="0050638B"/>
    <w:rsid w:val="00506571"/>
    <w:rsid w:val="005067F0"/>
    <w:rsid w:val="00506A8D"/>
    <w:rsid w:val="00506C2E"/>
    <w:rsid w:val="00506CB7"/>
    <w:rsid w:val="005074C9"/>
    <w:rsid w:val="0050772F"/>
    <w:rsid w:val="00507754"/>
    <w:rsid w:val="0050798A"/>
    <w:rsid w:val="00507ABD"/>
    <w:rsid w:val="00507ACA"/>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4C"/>
    <w:rsid w:val="00516B96"/>
    <w:rsid w:val="00517182"/>
    <w:rsid w:val="005173A4"/>
    <w:rsid w:val="00517408"/>
    <w:rsid w:val="005174F8"/>
    <w:rsid w:val="0051770E"/>
    <w:rsid w:val="00517C9B"/>
    <w:rsid w:val="0052001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6D7"/>
    <w:rsid w:val="00543703"/>
    <w:rsid w:val="00543A66"/>
    <w:rsid w:val="00543A83"/>
    <w:rsid w:val="00543F82"/>
    <w:rsid w:val="00543FB7"/>
    <w:rsid w:val="00544220"/>
    <w:rsid w:val="00544330"/>
    <w:rsid w:val="005444D2"/>
    <w:rsid w:val="0054462D"/>
    <w:rsid w:val="00544C33"/>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E79"/>
    <w:rsid w:val="00546F05"/>
    <w:rsid w:val="00547093"/>
    <w:rsid w:val="00547123"/>
    <w:rsid w:val="00547B32"/>
    <w:rsid w:val="0055018D"/>
    <w:rsid w:val="005504D9"/>
    <w:rsid w:val="0055084D"/>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4A3"/>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C"/>
    <w:rsid w:val="00563821"/>
    <w:rsid w:val="00563855"/>
    <w:rsid w:val="00563FD2"/>
    <w:rsid w:val="0056434D"/>
    <w:rsid w:val="005647E0"/>
    <w:rsid w:val="00564E44"/>
    <w:rsid w:val="00565078"/>
    <w:rsid w:val="00565109"/>
    <w:rsid w:val="00565254"/>
    <w:rsid w:val="005654FA"/>
    <w:rsid w:val="00565679"/>
    <w:rsid w:val="005656BF"/>
    <w:rsid w:val="0056587B"/>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82"/>
    <w:rsid w:val="00571989"/>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51D"/>
    <w:rsid w:val="005836D0"/>
    <w:rsid w:val="0058390E"/>
    <w:rsid w:val="00583C6C"/>
    <w:rsid w:val="00583E78"/>
    <w:rsid w:val="00583E95"/>
    <w:rsid w:val="00584372"/>
    <w:rsid w:val="00584496"/>
    <w:rsid w:val="005846AB"/>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CBE"/>
    <w:rsid w:val="00592E60"/>
    <w:rsid w:val="005930D2"/>
    <w:rsid w:val="0059341B"/>
    <w:rsid w:val="005934B6"/>
    <w:rsid w:val="00593819"/>
    <w:rsid w:val="00593A83"/>
    <w:rsid w:val="00593B38"/>
    <w:rsid w:val="00593C54"/>
    <w:rsid w:val="00594131"/>
    <w:rsid w:val="00594343"/>
    <w:rsid w:val="005943C6"/>
    <w:rsid w:val="00594543"/>
    <w:rsid w:val="005946E5"/>
    <w:rsid w:val="0059474E"/>
    <w:rsid w:val="00594ABF"/>
    <w:rsid w:val="00594B79"/>
    <w:rsid w:val="00594C3A"/>
    <w:rsid w:val="00594C9B"/>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6CF"/>
    <w:rsid w:val="005A17B1"/>
    <w:rsid w:val="005A17BC"/>
    <w:rsid w:val="005A18CB"/>
    <w:rsid w:val="005A1C24"/>
    <w:rsid w:val="005A1CB7"/>
    <w:rsid w:val="005A1D03"/>
    <w:rsid w:val="005A1FCA"/>
    <w:rsid w:val="005A216F"/>
    <w:rsid w:val="005A2229"/>
    <w:rsid w:val="005A274B"/>
    <w:rsid w:val="005A316F"/>
    <w:rsid w:val="005A320D"/>
    <w:rsid w:val="005A36E3"/>
    <w:rsid w:val="005A380A"/>
    <w:rsid w:val="005A3A31"/>
    <w:rsid w:val="005A3A9D"/>
    <w:rsid w:val="005A3B1E"/>
    <w:rsid w:val="005A3C4F"/>
    <w:rsid w:val="005A3EBC"/>
    <w:rsid w:val="005A40D5"/>
    <w:rsid w:val="005A41E5"/>
    <w:rsid w:val="005A430E"/>
    <w:rsid w:val="005A431B"/>
    <w:rsid w:val="005A4364"/>
    <w:rsid w:val="005A4569"/>
    <w:rsid w:val="005A4999"/>
    <w:rsid w:val="005A4D76"/>
    <w:rsid w:val="005A4E10"/>
    <w:rsid w:val="005A4E38"/>
    <w:rsid w:val="005A50CE"/>
    <w:rsid w:val="005A54B7"/>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299"/>
    <w:rsid w:val="005B2C12"/>
    <w:rsid w:val="005B2C70"/>
    <w:rsid w:val="005B2CBE"/>
    <w:rsid w:val="005B2D4D"/>
    <w:rsid w:val="005B2EB8"/>
    <w:rsid w:val="005B2EF8"/>
    <w:rsid w:val="005B30CC"/>
    <w:rsid w:val="005B30EE"/>
    <w:rsid w:val="005B3159"/>
    <w:rsid w:val="005B31F2"/>
    <w:rsid w:val="005B355C"/>
    <w:rsid w:val="005B3BD1"/>
    <w:rsid w:val="005B3C58"/>
    <w:rsid w:val="005B3C7C"/>
    <w:rsid w:val="005B3E85"/>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45"/>
    <w:rsid w:val="005B70E8"/>
    <w:rsid w:val="005B73C8"/>
    <w:rsid w:val="005B7824"/>
    <w:rsid w:val="005B79B7"/>
    <w:rsid w:val="005B7AA3"/>
    <w:rsid w:val="005B7B95"/>
    <w:rsid w:val="005C01F8"/>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2F3D"/>
    <w:rsid w:val="005C30E3"/>
    <w:rsid w:val="005C3534"/>
    <w:rsid w:val="005C376D"/>
    <w:rsid w:val="005C3A26"/>
    <w:rsid w:val="005C3A65"/>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510D"/>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FBB"/>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02"/>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20"/>
    <w:rsid w:val="005F369B"/>
    <w:rsid w:val="005F38C0"/>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600169"/>
    <w:rsid w:val="00600327"/>
    <w:rsid w:val="0060034E"/>
    <w:rsid w:val="0060036F"/>
    <w:rsid w:val="006004DE"/>
    <w:rsid w:val="00600773"/>
    <w:rsid w:val="006008D2"/>
    <w:rsid w:val="00600C4D"/>
    <w:rsid w:val="00600CDF"/>
    <w:rsid w:val="00600F82"/>
    <w:rsid w:val="00601072"/>
    <w:rsid w:val="0060144E"/>
    <w:rsid w:val="00601754"/>
    <w:rsid w:val="0060188B"/>
    <w:rsid w:val="00601D4D"/>
    <w:rsid w:val="00601E95"/>
    <w:rsid w:val="00601F6E"/>
    <w:rsid w:val="00601FCD"/>
    <w:rsid w:val="00602354"/>
    <w:rsid w:val="00602364"/>
    <w:rsid w:val="0060254B"/>
    <w:rsid w:val="00602640"/>
    <w:rsid w:val="0060268D"/>
    <w:rsid w:val="00602883"/>
    <w:rsid w:val="00602A0C"/>
    <w:rsid w:val="006032D3"/>
    <w:rsid w:val="0060369A"/>
    <w:rsid w:val="0060395C"/>
    <w:rsid w:val="006039C5"/>
    <w:rsid w:val="00603B1B"/>
    <w:rsid w:val="00603BB2"/>
    <w:rsid w:val="00603E73"/>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797"/>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763"/>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24"/>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98A"/>
    <w:rsid w:val="00617C5B"/>
    <w:rsid w:val="006201A2"/>
    <w:rsid w:val="00620254"/>
    <w:rsid w:val="00620561"/>
    <w:rsid w:val="0062060B"/>
    <w:rsid w:val="00620686"/>
    <w:rsid w:val="0062069A"/>
    <w:rsid w:val="0062085A"/>
    <w:rsid w:val="00620894"/>
    <w:rsid w:val="006209E8"/>
    <w:rsid w:val="00620B1C"/>
    <w:rsid w:val="00620B2F"/>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1E"/>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240"/>
    <w:rsid w:val="0064134D"/>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46B"/>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1FE2"/>
    <w:rsid w:val="00652186"/>
    <w:rsid w:val="006521D6"/>
    <w:rsid w:val="006522B3"/>
    <w:rsid w:val="006522DC"/>
    <w:rsid w:val="006523E4"/>
    <w:rsid w:val="00652536"/>
    <w:rsid w:val="00652729"/>
    <w:rsid w:val="00652AC6"/>
    <w:rsid w:val="00652BB4"/>
    <w:rsid w:val="00652DD8"/>
    <w:rsid w:val="00652F85"/>
    <w:rsid w:val="0065304C"/>
    <w:rsid w:val="00653273"/>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BD8"/>
    <w:rsid w:val="00655DD5"/>
    <w:rsid w:val="00655EF3"/>
    <w:rsid w:val="006561FF"/>
    <w:rsid w:val="006562C4"/>
    <w:rsid w:val="00656407"/>
    <w:rsid w:val="006565D8"/>
    <w:rsid w:val="00656600"/>
    <w:rsid w:val="0065675F"/>
    <w:rsid w:val="00656945"/>
    <w:rsid w:val="00656C06"/>
    <w:rsid w:val="00656C57"/>
    <w:rsid w:val="00656D6F"/>
    <w:rsid w:val="00656DB9"/>
    <w:rsid w:val="00656F89"/>
    <w:rsid w:val="00657005"/>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5DC"/>
    <w:rsid w:val="00663908"/>
    <w:rsid w:val="00663AA0"/>
    <w:rsid w:val="00663D19"/>
    <w:rsid w:val="00663D4A"/>
    <w:rsid w:val="00663E19"/>
    <w:rsid w:val="0066402E"/>
    <w:rsid w:val="00664505"/>
    <w:rsid w:val="00664682"/>
    <w:rsid w:val="006646D2"/>
    <w:rsid w:val="006646ED"/>
    <w:rsid w:val="006646F4"/>
    <w:rsid w:val="006648B9"/>
    <w:rsid w:val="00664D78"/>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67B77"/>
    <w:rsid w:val="0067000E"/>
    <w:rsid w:val="006704BF"/>
    <w:rsid w:val="006705FD"/>
    <w:rsid w:val="00670AD6"/>
    <w:rsid w:val="00670D03"/>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364"/>
    <w:rsid w:val="00674460"/>
    <w:rsid w:val="00674839"/>
    <w:rsid w:val="00674ABA"/>
    <w:rsid w:val="00674B38"/>
    <w:rsid w:val="0067517B"/>
    <w:rsid w:val="00675652"/>
    <w:rsid w:val="006757DC"/>
    <w:rsid w:val="00675AE6"/>
    <w:rsid w:val="006764B4"/>
    <w:rsid w:val="00676508"/>
    <w:rsid w:val="006767B8"/>
    <w:rsid w:val="006769C3"/>
    <w:rsid w:val="00676B19"/>
    <w:rsid w:val="00676D4C"/>
    <w:rsid w:val="00676F5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26"/>
    <w:rsid w:val="006A5F28"/>
    <w:rsid w:val="006A6273"/>
    <w:rsid w:val="006A63BE"/>
    <w:rsid w:val="006A64D6"/>
    <w:rsid w:val="006A6529"/>
    <w:rsid w:val="006A6725"/>
    <w:rsid w:val="006A673B"/>
    <w:rsid w:val="006A6810"/>
    <w:rsid w:val="006A68A5"/>
    <w:rsid w:val="006A69E6"/>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3EB4"/>
    <w:rsid w:val="006B421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E9C"/>
    <w:rsid w:val="006C0FB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1A"/>
    <w:rsid w:val="006D1A23"/>
    <w:rsid w:val="006D1AAA"/>
    <w:rsid w:val="006D1C6F"/>
    <w:rsid w:val="006D1D48"/>
    <w:rsid w:val="006D1F1A"/>
    <w:rsid w:val="006D2072"/>
    <w:rsid w:val="006D208D"/>
    <w:rsid w:val="006D21FF"/>
    <w:rsid w:val="006D2584"/>
    <w:rsid w:val="006D2627"/>
    <w:rsid w:val="006D267F"/>
    <w:rsid w:val="006D2832"/>
    <w:rsid w:val="006D3017"/>
    <w:rsid w:val="006D31AF"/>
    <w:rsid w:val="006D31DD"/>
    <w:rsid w:val="006D32A3"/>
    <w:rsid w:val="006D37A8"/>
    <w:rsid w:val="006D37C7"/>
    <w:rsid w:val="006D3939"/>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56"/>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AD"/>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07EC8"/>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691"/>
    <w:rsid w:val="007158E9"/>
    <w:rsid w:val="00715BBE"/>
    <w:rsid w:val="00715CC6"/>
    <w:rsid w:val="00715F49"/>
    <w:rsid w:val="00715FBA"/>
    <w:rsid w:val="007162F2"/>
    <w:rsid w:val="0071636C"/>
    <w:rsid w:val="007163BF"/>
    <w:rsid w:val="0071649C"/>
    <w:rsid w:val="00716B5E"/>
    <w:rsid w:val="00716EC2"/>
    <w:rsid w:val="00716FC0"/>
    <w:rsid w:val="0071705F"/>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35E"/>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5C"/>
    <w:rsid w:val="00727D7A"/>
    <w:rsid w:val="00727E9F"/>
    <w:rsid w:val="007300DD"/>
    <w:rsid w:val="00730302"/>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05"/>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108B"/>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BB"/>
    <w:rsid w:val="00753A8F"/>
    <w:rsid w:val="00753B9D"/>
    <w:rsid w:val="00753DDE"/>
    <w:rsid w:val="00753F01"/>
    <w:rsid w:val="0075412E"/>
    <w:rsid w:val="007541A6"/>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958"/>
    <w:rsid w:val="00763A87"/>
    <w:rsid w:val="00763CB3"/>
    <w:rsid w:val="00763D32"/>
    <w:rsid w:val="00763E21"/>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1F85"/>
    <w:rsid w:val="007721AD"/>
    <w:rsid w:val="00772D15"/>
    <w:rsid w:val="00772DC3"/>
    <w:rsid w:val="00772E14"/>
    <w:rsid w:val="00772F72"/>
    <w:rsid w:val="0077316D"/>
    <w:rsid w:val="007733C4"/>
    <w:rsid w:val="00773588"/>
    <w:rsid w:val="007737CD"/>
    <w:rsid w:val="00773B7E"/>
    <w:rsid w:val="00773C11"/>
    <w:rsid w:val="00774357"/>
    <w:rsid w:val="007743A1"/>
    <w:rsid w:val="0077446F"/>
    <w:rsid w:val="007744EF"/>
    <w:rsid w:val="00774930"/>
    <w:rsid w:val="007750DC"/>
    <w:rsid w:val="00775330"/>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2DD"/>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D29"/>
    <w:rsid w:val="00792E83"/>
    <w:rsid w:val="00792ECC"/>
    <w:rsid w:val="007932B0"/>
    <w:rsid w:val="00793705"/>
    <w:rsid w:val="0079373A"/>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815"/>
    <w:rsid w:val="007A6909"/>
    <w:rsid w:val="007A6A08"/>
    <w:rsid w:val="007A75A3"/>
    <w:rsid w:val="007A7862"/>
    <w:rsid w:val="007A7874"/>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3D2"/>
    <w:rsid w:val="007D149C"/>
    <w:rsid w:val="007D1558"/>
    <w:rsid w:val="007D1901"/>
    <w:rsid w:val="007D192E"/>
    <w:rsid w:val="007D1A8B"/>
    <w:rsid w:val="007D1B7C"/>
    <w:rsid w:val="007D1C16"/>
    <w:rsid w:val="007D1FBC"/>
    <w:rsid w:val="007D214A"/>
    <w:rsid w:val="007D218E"/>
    <w:rsid w:val="007D2600"/>
    <w:rsid w:val="007D2934"/>
    <w:rsid w:val="007D2B08"/>
    <w:rsid w:val="007D34B6"/>
    <w:rsid w:val="007D357E"/>
    <w:rsid w:val="007D363C"/>
    <w:rsid w:val="007D3889"/>
    <w:rsid w:val="007D389C"/>
    <w:rsid w:val="007D3921"/>
    <w:rsid w:val="007D39A2"/>
    <w:rsid w:val="007D39D7"/>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5C2"/>
    <w:rsid w:val="007E2AAD"/>
    <w:rsid w:val="007E2B64"/>
    <w:rsid w:val="007E3031"/>
    <w:rsid w:val="007E318B"/>
    <w:rsid w:val="007E3192"/>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97F"/>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EC0"/>
    <w:rsid w:val="007F20BD"/>
    <w:rsid w:val="007F22A5"/>
    <w:rsid w:val="007F2333"/>
    <w:rsid w:val="007F2867"/>
    <w:rsid w:val="007F28AA"/>
    <w:rsid w:val="007F2DBB"/>
    <w:rsid w:val="007F2ED4"/>
    <w:rsid w:val="007F2F64"/>
    <w:rsid w:val="007F325F"/>
    <w:rsid w:val="007F3D55"/>
    <w:rsid w:val="007F3FB0"/>
    <w:rsid w:val="007F42AD"/>
    <w:rsid w:val="007F43A9"/>
    <w:rsid w:val="007F44EB"/>
    <w:rsid w:val="007F4BDB"/>
    <w:rsid w:val="007F4D86"/>
    <w:rsid w:val="007F5093"/>
    <w:rsid w:val="007F50F6"/>
    <w:rsid w:val="007F55F1"/>
    <w:rsid w:val="007F5608"/>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8CC"/>
    <w:rsid w:val="00801A46"/>
    <w:rsid w:val="00801CD0"/>
    <w:rsid w:val="00801F28"/>
    <w:rsid w:val="00801FBC"/>
    <w:rsid w:val="00802410"/>
    <w:rsid w:val="008027BA"/>
    <w:rsid w:val="00802BE1"/>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172"/>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2005F"/>
    <w:rsid w:val="0082021D"/>
    <w:rsid w:val="00820391"/>
    <w:rsid w:val="00820B54"/>
    <w:rsid w:val="00820DA1"/>
    <w:rsid w:val="00820DA7"/>
    <w:rsid w:val="00820DF1"/>
    <w:rsid w:val="00820EEC"/>
    <w:rsid w:val="00821624"/>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45"/>
    <w:rsid w:val="00823AE0"/>
    <w:rsid w:val="00823F61"/>
    <w:rsid w:val="008240CA"/>
    <w:rsid w:val="008241E2"/>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9BE"/>
    <w:rsid w:val="00827A41"/>
    <w:rsid w:val="00827AD1"/>
    <w:rsid w:val="00827AF3"/>
    <w:rsid w:val="00830269"/>
    <w:rsid w:val="008304CC"/>
    <w:rsid w:val="0083056F"/>
    <w:rsid w:val="0083085A"/>
    <w:rsid w:val="00830ED8"/>
    <w:rsid w:val="00830F16"/>
    <w:rsid w:val="0083102E"/>
    <w:rsid w:val="00831188"/>
    <w:rsid w:val="00831198"/>
    <w:rsid w:val="00831267"/>
    <w:rsid w:val="008314BC"/>
    <w:rsid w:val="00831AB5"/>
    <w:rsid w:val="00831D85"/>
    <w:rsid w:val="00831E51"/>
    <w:rsid w:val="00832142"/>
    <w:rsid w:val="00832C18"/>
    <w:rsid w:val="00832CAF"/>
    <w:rsid w:val="00832E49"/>
    <w:rsid w:val="008330DB"/>
    <w:rsid w:val="00833512"/>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68C"/>
    <w:rsid w:val="00837799"/>
    <w:rsid w:val="00837876"/>
    <w:rsid w:val="00837D12"/>
    <w:rsid w:val="00837D49"/>
    <w:rsid w:val="008401C3"/>
    <w:rsid w:val="008403B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EB8"/>
    <w:rsid w:val="0084504C"/>
    <w:rsid w:val="008453EF"/>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45"/>
    <w:rsid w:val="00854090"/>
    <w:rsid w:val="008540E5"/>
    <w:rsid w:val="00854188"/>
    <w:rsid w:val="008543E2"/>
    <w:rsid w:val="00854585"/>
    <w:rsid w:val="00854983"/>
    <w:rsid w:val="00854B60"/>
    <w:rsid w:val="00854E4B"/>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754"/>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D48"/>
    <w:rsid w:val="00866D51"/>
    <w:rsid w:val="00866E8E"/>
    <w:rsid w:val="00866FCF"/>
    <w:rsid w:val="00867314"/>
    <w:rsid w:val="00867428"/>
    <w:rsid w:val="00867847"/>
    <w:rsid w:val="00867967"/>
    <w:rsid w:val="00867F66"/>
    <w:rsid w:val="00870018"/>
    <w:rsid w:val="008704DC"/>
    <w:rsid w:val="008706B4"/>
    <w:rsid w:val="008706B5"/>
    <w:rsid w:val="00870793"/>
    <w:rsid w:val="00870A1C"/>
    <w:rsid w:val="00870A76"/>
    <w:rsid w:val="00870E13"/>
    <w:rsid w:val="00871029"/>
    <w:rsid w:val="00871096"/>
    <w:rsid w:val="008710EF"/>
    <w:rsid w:val="00871171"/>
    <w:rsid w:val="008712B8"/>
    <w:rsid w:val="008716B8"/>
    <w:rsid w:val="008716DD"/>
    <w:rsid w:val="00871776"/>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443"/>
    <w:rsid w:val="00875503"/>
    <w:rsid w:val="0087560B"/>
    <w:rsid w:val="00875693"/>
    <w:rsid w:val="00875905"/>
    <w:rsid w:val="00875AF1"/>
    <w:rsid w:val="00875DE9"/>
    <w:rsid w:val="00875E7F"/>
    <w:rsid w:val="00875F79"/>
    <w:rsid w:val="00875FBD"/>
    <w:rsid w:val="008760C7"/>
    <w:rsid w:val="00876365"/>
    <w:rsid w:val="00876AC7"/>
    <w:rsid w:val="00876B64"/>
    <w:rsid w:val="0087721D"/>
    <w:rsid w:val="00877273"/>
    <w:rsid w:val="0087746C"/>
    <w:rsid w:val="00877500"/>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54"/>
    <w:rsid w:val="008807FD"/>
    <w:rsid w:val="00880B3D"/>
    <w:rsid w:val="00880D84"/>
    <w:rsid w:val="00880D85"/>
    <w:rsid w:val="008810DF"/>
    <w:rsid w:val="008810FA"/>
    <w:rsid w:val="0088111B"/>
    <w:rsid w:val="00881611"/>
    <w:rsid w:val="008817A7"/>
    <w:rsid w:val="00881842"/>
    <w:rsid w:val="008818C3"/>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D0"/>
    <w:rsid w:val="0088549B"/>
    <w:rsid w:val="0088550E"/>
    <w:rsid w:val="0088579F"/>
    <w:rsid w:val="008858BD"/>
    <w:rsid w:val="0088599D"/>
    <w:rsid w:val="00885C2A"/>
    <w:rsid w:val="00885D5D"/>
    <w:rsid w:val="00885F46"/>
    <w:rsid w:val="00886116"/>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9B"/>
    <w:rsid w:val="00890E81"/>
    <w:rsid w:val="00890F04"/>
    <w:rsid w:val="00890F2B"/>
    <w:rsid w:val="008911A2"/>
    <w:rsid w:val="0089136F"/>
    <w:rsid w:val="00891635"/>
    <w:rsid w:val="00891737"/>
    <w:rsid w:val="00891F63"/>
    <w:rsid w:val="008922DC"/>
    <w:rsid w:val="008922DF"/>
    <w:rsid w:val="0089257F"/>
    <w:rsid w:val="008928E8"/>
    <w:rsid w:val="00892BF2"/>
    <w:rsid w:val="00893024"/>
    <w:rsid w:val="0089308B"/>
    <w:rsid w:val="00893230"/>
    <w:rsid w:val="008935A7"/>
    <w:rsid w:val="00893910"/>
    <w:rsid w:val="00893AB7"/>
    <w:rsid w:val="00893B3B"/>
    <w:rsid w:val="00893B59"/>
    <w:rsid w:val="00893BC1"/>
    <w:rsid w:val="00893D63"/>
    <w:rsid w:val="00893FB3"/>
    <w:rsid w:val="0089421A"/>
    <w:rsid w:val="00894304"/>
    <w:rsid w:val="0089434E"/>
    <w:rsid w:val="008949A3"/>
    <w:rsid w:val="00895243"/>
    <w:rsid w:val="0089550A"/>
    <w:rsid w:val="0089563D"/>
    <w:rsid w:val="00895A0C"/>
    <w:rsid w:val="00895C10"/>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6C0"/>
    <w:rsid w:val="008A68C2"/>
    <w:rsid w:val="008A6B31"/>
    <w:rsid w:val="008A71D5"/>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1F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D2"/>
    <w:rsid w:val="008C4064"/>
    <w:rsid w:val="008C4188"/>
    <w:rsid w:val="008C45C2"/>
    <w:rsid w:val="008C4620"/>
    <w:rsid w:val="008C4B47"/>
    <w:rsid w:val="008C4CB9"/>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04"/>
    <w:rsid w:val="008C7F77"/>
    <w:rsid w:val="008D02CB"/>
    <w:rsid w:val="008D0459"/>
    <w:rsid w:val="008D05D2"/>
    <w:rsid w:val="008D09D9"/>
    <w:rsid w:val="008D0A5C"/>
    <w:rsid w:val="008D13DC"/>
    <w:rsid w:val="008D149D"/>
    <w:rsid w:val="008D1BB5"/>
    <w:rsid w:val="008D1C69"/>
    <w:rsid w:val="008D1D05"/>
    <w:rsid w:val="008D1D11"/>
    <w:rsid w:val="008D1E1A"/>
    <w:rsid w:val="008D1E23"/>
    <w:rsid w:val="008D22C4"/>
    <w:rsid w:val="008D2461"/>
    <w:rsid w:val="008D2794"/>
    <w:rsid w:val="008D279A"/>
    <w:rsid w:val="008D28B3"/>
    <w:rsid w:val="008D29D2"/>
    <w:rsid w:val="008D2B73"/>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6AC"/>
    <w:rsid w:val="008D6733"/>
    <w:rsid w:val="008D69ED"/>
    <w:rsid w:val="008D6AF2"/>
    <w:rsid w:val="008D6B78"/>
    <w:rsid w:val="008D6BB7"/>
    <w:rsid w:val="008D6BE3"/>
    <w:rsid w:val="008D6CD2"/>
    <w:rsid w:val="008D6CF6"/>
    <w:rsid w:val="008D6F90"/>
    <w:rsid w:val="008D718F"/>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6"/>
    <w:rsid w:val="008F3D7C"/>
    <w:rsid w:val="008F3DC9"/>
    <w:rsid w:val="008F4107"/>
    <w:rsid w:val="008F4150"/>
    <w:rsid w:val="008F473A"/>
    <w:rsid w:val="008F48C2"/>
    <w:rsid w:val="008F4BFE"/>
    <w:rsid w:val="008F4D97"/>
    <w:rsid w:val="008F4E3F"/>
    <w:rsid w:val="008F5184"/>
    <w:rsid w:val="008F5495"/>
    <w:rsid w:val="008F555E"/>
    <w:rsid w:val="008F56E6"/>
    <w:rsid w:val="008F56F9"/>
    <w:rsid w:val="008F595E"/>
    <w:rsid w:val="008F5B66"/>
    <w:rsid w:val="008F5E1B"/>
    <w:rsid w:val="008F6188"/>
    <w:rsid w:val="008F6649"/>
    <w:rsid w:val="008F6857"/>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345"/>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11F"/>
    <w:rsid w:val="0091345B"/>
    <w:rsid w:val="0091396C"/>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5A7"/>
    <w:rsid w:val="009216BF"/>
    <w:rsid w:val="009218A0"/>
    <w:rsid w:val="009218D2"/>
    <w:rsid w:val="00921A74"/>
    <w:rsid w:val="00921BDA"/>
    <w:rsid w:val="00921C9F"/>
    <w:rsid w:val="00921D89"/>
    <w:rsid w:val="00921ECE"/>
    <w:rsid w:val="00921ED5"/>
    <w:rsid w:val="00921FA1"/>
    <w:rsid w:val="0092203C"/>
    <w:rsid w:val="009225B6"/>
    <w:rsid w:val="00922860"/>
    <w:rsid w:val="0092286C"/>
    <w:rsid w:val="00922E83"/>
    <w:rsid w:val="00923151"/>
    <w:rsid w:val="0092337E"/>
    <w:rsid w:val="00923619"/>
    <w:rsid w:val="009236DE"/>
    <w:rsid w:val="00923977"/>
    <w:rsid w:val="00923ABA"/>
    <w:rsid w:val="00923BC9"/>
    <w:rsid w:val="00923D44"/>
    <w:rsid w:val="00923E83"/>
    <w:rsid w:val="00923E8C"/>
    <w:rsid w:val="00924108"/>
    <w:rsid w:val="0092434B"/>
    <w:rsid w:val="0092464E"/>
    <w:rsid w:val="009246D1"/>
    <w:rsid w:val="0092471C"/>
    <w:rsid w:val="009247D8"/>
    <w:rsid w:val="00924BD5"/>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3F"/>
    <w:rsid w:val="00926EBB"/>
    <w:rsid w:val="00926F83"/>
    <w:rsid w:val="0092720B"/>
    <w:rsid w:val="00927211"/>
    <w:rsid w:val="00927752"/>
    <w:rsid w:val="00927CAF"/>
    <w:rsid w:val="009300CB"/>
    <w:rsid w:val="00930305"/>
    <w:rsid w:val="0093059F"/>
    <w:rsid w:val="0093063D"/>
    <w:rsid w:val="0093088A"/>
    <w:rsid w:val="00930DFB"/>
    <w:rsid w:val="009311E0"/>
    <w:rsid w:val="009312DB"/>
    <w:rsid w:val="0093134B"/>
    <w:rsid w:val="0093135E"/>
    <w:rsid w:val="009313BB"/>
    <w:rsid w:val="0093195D"/>
    <w:rsid w:val="00931A43"/>
    <w:rsid w:val="00931B3D"/>
    <w:rsid w:val="00932109"/>
    <w:rsid w:val="009321F1"/>
    <w:rsid w:val="00932202"/>
    <w:rsid w:val="009322AC"/>
    <w:rsid w:val="009324AA"/>
    <w:rsid w:val="009324B1"/>
    <w:rsid w:val="009327B5"/>
    <w:rsid w:val="00932907"/>
    <w:rsid w:val="00932A16"/>
    <w:rsid w:val="00932A20"/>
    <w:rsid w:val="0093307D"/>
    <w:rsid w:val="0093311E"/>
    <w:rsid w:val="00933197"/>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2F"/>
    <w:rsid w:val="00937AC7"/>
    <w:rsid w:val="00937D15"/>
    <w:rsid w:val="00940063"/>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331"/>
    <w:rsid w:val="00942743"/>
    <w:rsid w:val="00942BB8"/>
    <w:rsid w:val="00943108"/>
    <w:rsid w:val="009431CF"/>
    <w:rsid w:val="009431DA"/>
    <w:rsid w:val="00943256"/>
    <w:rsid w:val="00943289"/>
    <w:rsid w:val="00943306"/>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E35"/>
    <w:rsid w:val="00956101"/>
    <w:rsid w:val="00956361"/>
    <w:rsid w:val="00956537"/>
    <w:rsid w:val="009566DA"/>
    <w:rsid w:val="009569B6"/>
    <w:rsid w:val="00956AEE"/>
    <w:rsid w:val="00956BB2"/>
    <w:rsid w:val="00956C61"/>
    <w:rsid w:val="00956EBF"/>
    <w:rsid w:val="00956F90"/>
    <w:rsid w:val="00957060"/>
    <w:rsid w:val="009571BB"/>
    <w:rsid w:val="00957487"/>
    <w:rsid w:val="009576A0"/>
    <w:rsid w:val="009577CB"/>
    <w:rsid w:val="00957944"/>
    <w:rsid w:val="00957A3E"/>
    <w:rsid w:val="00957D9C"/>
    <w:rsid w:val="00960353"/>
    <w:rsid w:val="009603AB"/>
    <w:rsid w:val="0096042B"/>
    <w:rsid w:val="009607AF"/>
    <w:rsid w:val="00960A88"/>
    <w:rsid w:val="00960C68"/>
    <w:rsid w:val="00960CB6"/>
    <w:rsid w:val="00960D27"/>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71A"/>
    <w:rsid w:val="0096392B"/>
    <w:rsid w:val="0096397B"/>
    <w:rsid w:val="009639DE"/>
    <w:rsid w:val="00963A61"/>
    <w:rsid w:val="00963AEB"/>
    <w:rsid w:val="00963CAC"/>
    <w:rsid w:val="009640A7"/>
    <w:rsid w:val="009640B8"/>
    <w:rsid w:val="009640C7"/>
    <w:rsid w:val="0096410C"/>
    <w:rsid w:val="00964111"/>
    <w:rsid w:val="00964B17"/>
    <w:rsid w:val="00964E3C"/>
    <w:rsid w:val="00964E69"/>
    <w:rsid w:val="0096504D"/>
    <w:rsid w:val="00965235"/>
    <w:rsid w:val="009653C7"/>
    <w:rsid w:val="009654F0"/>
    <w:rsid w:val="009656BC"/>
    <w:rsid w:val="009659EA"/>
    <w:rsid w:val="00965C28"/>
    <w:rsid w:val="00965FA6"/>
    <w:rsid w:val="0096673E"/>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09D"/>
    <w:rsid w:val="00971190"/>
    <w:rsid w:val="009713DE"/>
    <w:rsid w:val="0097182A"/>
    <w:rsid w:val="00971940"/>
    <w:rsid w:val="00971E51"/>
    <w:rsid w:val="00971EC5"/>
    <w:rsid w:val="00971F6B"/>
    <w:rsid w:val="00971FCC"/>
    <w:rsid w:val="009726AD"/>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C2D"/>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647C"/>
    <w:rsid w:val="009767DE"/>
    <w:rsid w:val="00976D63"/>
    <w:rsid w:val="00977214"/>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77A"/>
    <w:rsid w:val="00984F16"/>
    <w:rsid w:val="00984F41"/>
    <w:rsid w:val="0098511E"/>
    <w:rsid w:val="00985165"/>
    <w:rsid w:val="009852B3"/>
    <w:rsid w:val="0098537C"/>
    <w:rsid w:val="0098541D"/>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4BD1"/>
    <w:rsid w:val="00994F40"/>
    <w:rsid w:val="00995263"/>
    <w:rsid w:val="00995360"/>
    <w:rsid w:val="009954AD"/>
    <w:rsid w:val="0099567F"/>
    <w:rsid w:val="009956EB"/>
    <w:rsid w:val="009959B6"/>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12D1"/>
    <w:rsid w:val="009A15B6"/>
    <w:rsid w:val="009A19AE"/>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A5F"/>
    <w:rsid w:val="009A3AB5"/>
    <w:rsid w:val="009A3DBA"/>
    <w:rsid w:val="009A4100"/>
    <w:rsid w:val="009A4293"/>
    <w:rsid w:val="009A441E"/>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29D"/>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821"/>
    <w:rsid w:val="009B58E8"/>
    <w:rsid w:val="009B591E"/>
    <w:rsid w:val="009B59B0"/>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D63"/>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13B"/>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7D7"/>
    <w:rsid w:val="009E11A9"/>
    <w:rsid w:val="009E12D1"/>
    <w:rsid w:val="009E141F"/>
    <w:rsid w:val="009E176B"/>
    <w:rsid w:val="009E1A33"/>
    <w:rsid w:val="009E1A74"/>
    <w:rsid w:val="009E1E13"/>
    <w:rsid w:val="009E1F70"/>
    <w:rsid w:val="009E1FFC"/>
    <w:rsid w:val="009E217E"/>
    <w:rsid w:val="009E226A"/>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D1"/>
    <w:rsid w:val="009F1033"/>
    <w:rsid w:val="009F1544"/>
    <w:rsid w:val="009F163C"/>
    <w:rsid w:val="009F187B"/>
    <w:rsid w:val="009F1933"/>
    <w:rsid w:val="009F194D"/>
    <w:rsid w:val="009F1DFD"/>
    <w:rsid w:val="009F29A1"/>
    <w:rsid w:val="009F2C55"/>
    <w:rsid w:val="009F2E7E"/>
    <w:rsid w:val="009F3A4B"/>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6EB1"/>
    <w:rsid w:val="009F7139"/>
    <w:rsid w:val="009F7169"/>
    <w:rsid w:val="009F71C2"/>
    <w:rsid w:val="009F744E"/>
    <w:rsid w:val="009F76CB"/>
    <w:rsid w:val="009F7883"/>
    <w:rsid w:val="009F79F3"/>
    <w:rsid w:val="009F7CFE"/>
    <w:rsid w:val="009F7E34"/>
    <w:rsid w:val="00A00519"/>
    <w:rsid w:val="00A005A3"/>
    <w:rsid w:val="00A00B7C"/>
    <w:rsid w:val="00A01006"/>
    <w:rsid w:val="00A011C6"/>
    <w:rsid w:val="00A02232"/>
    <w:rsid w:val="00A022B2"/>
    <w:rsid w:val="00A02B26"/>
    <w:rsid w:val="00A02D09"/>
    <w:rsid w:val="00A02EF4"/>
    <w:rsid w:val="00A03038"/>
    <w:rsid w:val="00A032BA"/>
    <w:rsid w:val="00A03372"/>
    <w:rsid w:val="00A03893"/>
    <w:rsid w:val="00A0394B"/>
    <w:rsid w:val="00A03CA5"/>
    <w:rsid w:val="00A04541"/>
    <w:rsid w:val="00A0465F"/>
    <w:rsid w:val="00A04846"/>
    <w:rsid w:val="00A04A20"/>
    <w:rsid w:val="00A04A92"/>
    <w:rsid w:val="00A04EA3"/>
    <w:rsid w:val="00A04EBD"/>
    <w:rsid w:val="00A05194"/>
    <w:rsid w:val="00A054E7"/>
    <w:rsid w:val="00A0559E"/>
    <w:rsid w:val="00A0560E"/>
    <w:rsid w:val="00A057B4"/>
    <w:rsid w:val="00A057FF"/>
    <w:rsid w:val="00A05997"/>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A0B"/>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D0A"/>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5D0"/>
    <w:rsid w:val="00A1468E"/>
    <w:rsid w:val="00A14743"/>
    <w:rsid w:val="00A14A69"/>
    <w:rsid w:val="00A14AEB"/>
    <w:rsid w:val="00A14B5D"/>
    <w:rsid w:val="00A14B73"/>
    <w:rsid w:val="00A15252"/>
    <w:rsid w:val="00A15270"/>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66"/>
    <w:rsid w:val="00A210E9"/>
    <w:rsid w:val="00A21666"/>
    <w:rsid w:val="00A21712"/>
    <w:rsid w:val="00A218AE"/>
    <w:rsid w:val="00A21A9D"/>
    <w:rsid w:val="00A21AAA"/>
    <w:rsid w:val="00A21C50"/>
    <w:rsid w:val="00A21E51"/>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56F"/>
    <w:rsid w:val="00A275C9"/>
    <w:rsid w:val="00A276E9"/>
    <w:rsid w:val="00A276F1"/>
    <w:rsid w:val="00A27EFE"/>
    <w:rsid w:val="00A300D1"/>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7F"/>
    <w:rsid w:val="00A33188"/>
    <w:rsid w:val="00A33354"/>
    <w:rsid w:val="00A338AB"/>
    <w:rsid w:val="00A339A6"/>
    <w:rsid w:val="00A33A66"/>
    <w:rsid w:val="00A33A6F"/>
    <w:rsid w:val="00A33BC1"/>
    <w:rsid w:val="00A33C3D"/>
    <w:rsid w:val="00A33C9E"/>
    <w:rsid w:val="00A34558"/>
    <w:rsid w:val="00A34C68"/>
    <w:rsid w:val="00A34C88"/>
    <w:rsid w:val="00A35156"/>
    <w:rsid w:val="00A3547A"/>
    <w:rsid w:val="00A35735"/>
    <w:rsid w:val="00A357D0"/>
    <w:rsid w:val="00A35A0B"/>
    <w:rsid w:val="00A35F6A"/>
    <w:rsid w:val="00A362CB"/>
    <w:rsid w:val="00A36326"/>
    <w:rsid w:val="00A365F0"/>
    <w:rsid w:val="00A365F9"/>
    <w:rsid w:val="00A36694"/>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3C4"/>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930"/>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5A1"/>
    <w:rsid w:val="00A62953"/>
    <w:rsid w:val="00A62961"/>
    <w:rsid w:val="00A62B90"/>
    <w:rsid w:val="00A62CEF"/>
    <w:rsid w:val="00A62D25"/>
    <w:rsid w:val="00A62DDE"/>
    <w:rsid w:val="00A630F5"/>
    <w:rsid w:val="00A63112"/>
    <w:rsid w:val="00A63173"/>
    <w:rsid w:val="00A63227"/>
    <w:rsid w:val="00A63568"/>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FFF"/>
    <w:rsid w:val="00A741AA"/>
    <w:rsid w:val="00A7437A"/>
    <w:rsid w:val="00A744A2"/>
    <w:rsid w:val="00A745D9"/>
    <w:rsid w:val="00A746E0"/>
    <w:rsid w:val="00A74C02"/>
    <w:rsid w:val="00A74DE8"/>
    <w:rsid w:val="00A74E04"/>
    <w:rsid w:val="00A74E79"/>
    <w:rsid w:val="00A74EB9"/>
    <w:rsid w:val="00A74F6C"/>
    <w:rsid w:val="00A75102"/>
    <w:rsid w:val="00A75212"/>
    <w:rsid w:val="00A7529E"/>
    <w:rsid w:val="00A75352"/>
    <w:rsid w:val="00A7538B"/>
    <w:rsid w:val="00A75466"/>
    <w:rsid w:val="00A75495"/>
    <w:rsid w:val="00A754E2"/>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1008"/>
    <w:rsid w:val="00A91044"/>
    <w:rsid w:val="00A91140"/>
    <w:rsid w:val="00A9116A"/>
    <w:rsid w:val="00A9120E"/>
    <w:rsid w:val="00A91218"/>
    <w:rsid w:val="00A91469"/>
    <w:rsid w:val="00A91523"/>
    <w:rsid w:val="00A9159B"/>
    <w:rsid w:val="00A9164F"/>
    <w:rsid w:val="00A91701"/>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CD9"/>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D94"/>
    <w:rsid w:val="00AB3E16"/>
    <w:rsid w:val="00AB3E3E"/>
    <w:rsid w:val="00AB3F13"/>
    <w:rsid w:val="00AB3FEA"/>
    <w:rsid w:val="00AB4157"/>
    <w:rsid w:val="00AB42FF"/>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64"/>
    <w:rsid w:val="00AC0559"/>
    <w:rsid w:val="00AC06F1"/>
    <w:rsid w:val="00AC0893"/>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9F1"/>
    <w:rsid w:val="00AD3BEC"/>
    <w:rsid w:val="00AD3E91"/>
    <w:rsid w:val="00AD3FEB"/>
    <w:rsid w:val="00AD4207"/>
    <w:rsid w:val="00AD471A"/>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36"/>
    <w:rsid w:val="00AD7920"/>
    <w:rsid w:val="00AD7927"/>
    <w:rsid w:val="00AD7984"/>
    <w:rsid w:val="00AE0074"/>
    <w:rsid w:val="00AE08F3"/>
    <w:rsid w:val="00AE0CE0"/>
    <w:rsid w:val="00AE0D23"/>
    <w:rsid w:val="00AE0E9E"/>
    <w:rsid w:val="00AE1418"/>
    <w:rsid w:val="00AE14B7"/>
    <w:rsid w:val="00AE14CD"/>
    <w:rsid w:val="00AE1CF9"/>
    <w:rsid w:val="00AE2051"/>
    <w:rsid w:val="00AE2205"/>
    <w:rsid w:val="00AE232B"/>
    <w:rsid w:val="00AE27A4"/>
    <w:rsid w:val="00AE2821"/>
    <w:rsid w:val="00AE2BFE"/>
    <w:rsid w:val="00AE3004"/>
    <w:rsid w:val="00AE3467"/>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AF4"/>
    <w:rsid w:val="00B06B44"/>
    <w:rsid w:val="00B06B70"/>
    <w:rsid w:val="00B06C77"/>
    <w:rsid w:val="00B06D24"/>
    <w:rsid w:val="00B06F7F"/>
    <w:rsid w:val="00B06F85"/>
    <w:rsid w:val="00B07286"/>
    <w:rsid w:val="00B07468"/>
    <w:rsid w:val="00B0747F"/>
    <w:rsid w:val="00B075EC"/>
    <w:rsid w:val="00B07909"/>
    <w:rsid w:val="00B07CBE"/>
    <w:rsid w:val="00B07F35"/>
    <w:rsid w:val="00B07F5F"/>
    <w:rsid w:val="00B10030"/>
    <w:rsid w:val="00B104E3"/>
    <w:rsid w:val="00B1060C"/>
    <w:rsid w:val="00B1093D"/>
    <w:rsid w:val="00B10BD1"/>
    <w:rsid w:val="00B10C13"/>
    <w:rsid w:val="00B10CCE"/>
    <w:rsid w:val="00B10DDA"/>
    <w:rsid w:val="00B10E2C"/>
    <w:rsid w:val="00B111BF"/>
    <w:rsid w:val="00B114C4"/>
    <w:rsid w:val="00B115A1"/>
    <w:rsid w:val="00B11792"/>
    <w:rsid w:val="00B1187A"/>
    <w:rsid w:val="00B11882"/>
    <w:rsid w:val="00B11C98"/>
    <w:rsid w:val="00B11E29"/>
    <w:rsid w:val="00B1215A"/>
    <w:rsid w:val="00B1219E"/>
    <w:rsid w:val="00B12287"/>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153"/>
    <w:rsid w:val="00B242E8"/>
    <w:rsid w:val="00B24620"/>
    <w:rsid w:val="00B2498B"/>
    <w:rsid w:val="00B24B39"/>
    <w:rsid w:val="00B24B93"/>
    <w:rsid w:val="00B24C1C"/>
    <w:rsid w:val="00B24F49"/>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C15"/>
    <w:rsid w:val="00B34E40"/>
    <w:rsid w:val="00B34E89"/>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D73"/>
    <w:rsid w:val="00B40FBE"/>
    <w:rsid w:val="00B40FE0"/>
    <w:rsid w:val="00B411A3"/>
    <w:rsid w:val="00B412CB"/>
    <w:rsid w:val="00B41351"/>
    <w:rsid w:val="00B415EF"/>
    <w:rsid w:val="00B41831"/>
    <w:rsid w:val="00B418D6"/>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4E"/>
    <w:rsid w:val="00B44B77"/>
    <w:rsid w:val="00B44D29"/>
    <w:rsid w:val="00B44E53"/>
    <w:rsid w:val="00B45192"/>
    <w:rsid w:val="00B453FF"/>
    <w:rsid w:val="00B4581A"/>
    <w:rsid w:val="00B45A61"/>
    <w:rsid w:val="00B45BCF"/>
    <w:rsid w:val="00B4622C"/>
    <w:rsid w:val="00B462D6"/>
    <w:rsid w:val="00B46544"/>
    <w:rsid w:val="00B46681"/>
    <w:rsid w:val="00B466E8"/>
    <w:rsid w:val="00B468C8"/>
    <w:rsid w:val="00B46BBB"/>
    <w:rsid w:val="00B47137"/>
    <w:rsid w:val="00B47210"/>
    <w:rsid w:val="00B4747E"/>
    <w:rsid w:val="00B4776B"/>
    <w:rsid w:val="00B47784"/>
    <w:rsid w:val="00B4783F"/>
    <w:rsid w:val="00B478EF"/>
    <w:rsid w:val="00B47CEF"/>
    <w:rsid w:val="00B47E6F"/>
    <w:rsid w:val="00B47F1F"/>
    <w:rsid w:val="00B5020A"/>
    <w:rsid w:val="00B50353"/>
    <w:rsid w:val="00B504F7"/>
    <w:rsid w:val="00B50E38"/>
    <w:rsid w:val="00B511A4"/>
    <w:rsid w:val="00B512F9"/>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BB"/>
    <w:rsid w:val="00B53822"/>
    <w:rsid w:val="00B53827"/>
    <w:rsid w:val="00B53A1E"/>
    <w:rsid w:val="00B53D89"/>
    <w:rsid w:val="00B53EF5"/>
    <w:rsid w:val="00B53F5E"/>
    <w:rsid w:val="00B5418D"/>
    <w:rsid w:val="00B5428C"/>
    <w:rsid w:val="00B542FA"/>
    <w:rsid w:val="00B54551"/>
    <w:rsid w:val="00B54552"/>
    <w:rsid w:val="00B5475E"/>
    <w:rsid w:val="00B547AF"/>
    <w:rsid w:val="00B54989"/>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293"/>
    <w:rsid w:val="00B6237B"/>
    <w:rsid w:val="00B62414"/>
    <w:rsid w:val="00B62A18"/>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A5D"/>
    <w:rsid w:val="00B72056"/>
    <w:rsid w:val="00B72184"/>
    <w:rsid w:val="00B721F0"/>
    <w:rsid w:val="00B7254B"/>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F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962"/>
    <w:rsid w:val="00B83AC3"/>
    <w:rsid w:val="00B83DF6"/>
    <w:rsid w:val="00B83EC6"/>
    <w:rsid w:val="00B8408E"/>
    <w:rsid w:val="00B848A5"/>
    <w:rsid w:val="00B84982"/>
    <w:rsid w:val="00B84B57"/>
    <w:rsid w:val="00B84BE8"/>
    <w:rsid w:val="00B853F0"/>
    <w:rsid w:val="00B85581"/>
    <w:rsid w:val="00B8564B"/>
    <w:rsid w:val="00B8569C"/>
    <w:rsid w:val="00B85719"/>
    <w:rsid w:val="00B85740"/>
    <w:rsid w:val="00B858D9"/>
    <w:rsid w:val="00B85C34"/>
    <w:rsid w:val="00B85E03"/>
    <w:rsid w:val="00B85F67"/>
    <w:rsid w:val="00B86180"/>
    <w:rsid w:val="00B862F5"/>
    <w:rsid w:val="00B863EC"/>
    <w:rsid w:val="00B863F4"/>
    <w:rsid w:val="00B86557"/>
    <w:rsid w:val="00B8662B"/>
    <w:rsid w:val="00B86734"/>
    <w:rsid w:val="00B8692C"/>
    <w:rsid w:val="00B86A4F"/>
    <w:rsid w:val="00B86A94"/>
    <w:rsid w:val="00B86BDC"/>
    <w:rsid w:val="00B86D63"/>
    <w:rsid w:val="00B86EBE"/>
    <w:rsid w:val="00B8738C"/>
    <w:rsid w:val="00B873F5"/>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31E9"/>
    <w:rsid w:val="00B93256"/>
    <w:rsid w:val="00B932BD"/>
    <w:rsid w:val="00B932C7"/>
    <w:rsid w:val="00B932DA"/>
    <w:rsid w:val="00B9332D"/>
    <w:rsid w:val="00B93417"/>
    <w:rsid w:val="00B93876"/>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98A"/>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35"/>
    <w:rsid w:val="00BA3974"/>
    <w:rsid w:val="00BA3A77"/>
    <w:rsid w:val="00BA3C37"/>
    <w:rsid w:val="00BA3CC9"/>
    <w:rsid w:val="00BA3F29"/>
    <w:rsid w:val="00BA3F36"/>
    <w:rsid w:val="00BA4016"/>
    <w:rsid w:val="00BA40BE"/>
    <w:rsid w:val="00BA465E"/>
    <w:rsid w:val="00BA47C0"/>
    <w:rsid w:val="00BA48D3"/>
    <w:rsid w:val="00BA48E0"/>
    <w:rsid w:val="00BA4C09"/>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6EF7"/>
    <w:rsid w:val="00BA71D0"/>
    <w:rsid w:val="00BA725F"/>
    <w:rsid w:val="00BA7423"/>
    <w:rsid w:val="00BA742E"/>
    <w:rsid w:val="00BA7541"/>
    <w:rsid w:val="00BA7688"/>
    <w:rsid w:val="00BA78E9"/>
    <w:rsid w:val="00BA7C2A"/>
    <w:rsid w:val="00BA7DFE"/>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61D"/>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7F7"/>
    <w:rsid w:val="00BC0879"/>
    <w:rsid w:val="00BC0881"/>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C8"/>
    <w:rsid w:val="00BD181B"/>
    <w:rsid w:val="00BD1958"/>
    <w:rsid w:val="00BD1BD5"/>
    <w:rsid w:val="00BD1CE0"/>
    <w:rsid w:val="00BD238C"/>
    <w:rsid w:val="00BD2508"/>
    <w:rsid w:val="00BD25FA"/>
    <w:rsid w:val="00BD2A08"/>
    <w:rsid w:val="00BD2A7B"/>
    <w:rsid w:val="00BD2D89"/>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3B3"/>
    <w:rsid w:val="00BD57AC"/>
    <w:rsid w:val="00BD5932"/>
    <w:rsid w:val="00BD594D"/>
    <w:rsid w:val="00BD5A26"/>
    <w:rsid w:val="00BD5C22"/>
    <w:rsid w:val="00BD5D52"/>
    <w:rsid w:val="00BD5FA4"/>
    <w:rsid w:val="00BD6509"/>
    <w:rsid w:val="00BD689C"/>
    <w:rsid w:val="00BD6A22"/>
    <w:rsid w:val="00BD6A5D"/>
    <w:rsid w:val="00BD6A70"/>
    <w:rsid w:val="00BD6BF3"/>
    <w:rsid w:val="00BD6D70"/>
    <w:rsid w:val="00BD6D79"/>
    <w:rsid w:val="00BD6E7E"/>
    <w:rsid w:val="00BD6FE7"/>
    <w:rsid w:val="00BD70EF"/>
    <w:rsid w:val="00BD70F7"/>
    <w:rsid w:val="00BD75FF"/>
    <w:rsid w:val="00BD7A82"/>
    <w:rsid w:val="00BD7BCA"/>
    <w:rsid w:val="00BD7C8C"/>
    <w:rsid w:val="00BD7F9E"/>
    <w:rsid w:val="00BE0111"/>
    <w:rsid w:val="00BE06A9"/>
    <w:rsid w:val="00BE0724"/>
    <w:rsid w:val="00BE072F"/>
    <w:rsid w:val="00BE13B8"/>
    <w:rsid w:val="00BE16C6"/>
    <w:rsid w:val="00BE16E2"/>
    <w:rsid w:val="00BE17C5"/>
    <w:rsid w:val="00BE1959"/>
    <w:rsid w:val="00BE197A"/>
    <w:rsid w:val="00BE1A06"/>
    <w:rsid w:val="00BE1CEA"/>
    <w:rsid w:val="00BE1E3E"/>
    <w:rsid w:val="00BE1EBC"/>
    <w:rsid w:val="00BE1F51"/>
    <w:rsid w:val="00BE1FF0"/>
    <w:rsid w:val="00BE209E"/>
    <w:rsid w:val="00BE2222"/>
    <w:rsid w:val="00BE254D"/>
    <w:rsid w:val="00BE269D"/>
    <w:rsid w:val="00BE28FE"/>
    <w:rsid w:val="00BE296A"/>
    <w:rsid w:val="00BE312F"/>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31CB"/>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C000BB"/>
    <w:rsid w:val="00C00133"/>
    <w:rsid w:val="00C00568"/>
    <w:rsid w:val="00C00A16"/>
    <w:rsid w:val="00C00B65"/>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420B"/>
    <w:rsid w:val="00C04471"/>
    <w:rsid w:val="00C04945"/>
    <w:rsid w:val="00C049F1"/>
    <w:rsid w:val="00C04C2B"/>
    <w:rsid w:val="00C0501B"/>
    <w:rsid w:val="00C0528A"/>
    <w:rsid w:val="00C0579A"/>
    <w:rsid w:val="00C057E0"/>
    <w:rsid w:val="00C05863"/>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8E4"/>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56"/>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BB7"/>
    <w:rsid w:val="00C32E21"/>
    <w:rsid w:val="00C33105"/>
    <w:rsid w:val="00C33577"/>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2D3"/>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2EC"/>
    <w:rsid w:val="00C4340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63F"/>
    <w:rsid w:val="00C54762"/>
    <w:rsid w:val="00C54804"/>
    <w:rsid w:val="00C5490D"/>
    <w:rsid w:val="00C54B97"/>
    <w:rsid w:val="00C54C38"/>
    <w:rsid w:val="00C54C62"/>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C37"/>
    <w:rsid w:val="00C60DFD"/>
    <w:rsid w:val="00C60E80"/>
    <w:rsid w:val="00C60EC1"/>
    <w:rsid w:val="00C61299"/>
    <w:rsid w:val="00C61319"/>
    <w:rsid w:val="00C61726"/>
    <w:rsid w:val="00C617F3"/>
    <w:rsid w:val="00C61807"/>
    <w:rsid w:val="00C6198A"/>
    <w:rsid w:val="00C61A5C"/>
    <w:rsid w:val="00C61A86"/>
    <w:rsid w:val="00C61D11"/>
    <w:rsid w:val="00C62027"/>
    <w:rsid w:val="00C62163"/>
    <w:rsid w:val="00C627B2"/>
    <w:rsid w:val="00C62997"/>
    <w:rsid w:val="00C629A8"/>
    <w:rsid w:val="00C62BE7"/>
    <w:rsid w:val="00C62C31"/>
    <w:rsid w:val="00C62DEF"/>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33E"/>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70152"/>
    <w:rsid w:val="00C70259"/>
    <w:rsid w:val="00C7040D"/>
    <w:rsid w:val="00C70A67"/>
    <w:rsid w:val="00C70ACE"/>
    <w:rsid w:val="00C70B8C"/>
    <w:rsid w:val="00C71133"/>
    <w:rsid w:val="00C711DE"/>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1351"/>
    <w:rsid w:val="00C81388"/>
    <w:rsid w:val="00C81497"/>
    <w:rsid w:val="00C815FF"/>
    <w:rsid w:val="00C817A9"/>
    <w:rsid w:val="00C8198E"/>
    <w:rsid w:val="00C81B30"/>
    <w:rsid w:val="00C81D56"/>
    <w:rsid w:val="00C82387"/>
    <w:rsid w:val="00C825AF"/>
    <w:rsid w:val="00C82A17"/>
    <w:rsid w:val="00C82A94"/>
    <w:rsid w:val="00C82B8F"/>
    <w:rsid w:val="00C82CCE"/>
    <w:rsid w:val="00C82CEB"/>
    <w:rsid w:val="00C82D51"/>
    <w:rsid w:val="00C831ED"/>
    <w:rsid w:val="00C833FB"/>
    <w:rsid w:val="00C83BBE"/>
    <w:rsid w:val="00C83BED"/>
    <w:rsid w:val="00C83E16"/>
    <w:rsid w:val="00C83F68"/>
    <w:rsid w:val="00C84186"/>
    <w:rsid w:val="00C84A52"/>
    <w:rsid w:val="00C84C91"/>
    <w:rsid w:val="00C84CAE"/>
    <w:rsid w:val="00C850BB"/>
    <w:rsid w:val="00C8534D"/>
    <w:rsid w:val="00C8561F"/>
    <w:rsid w:val="00C85738"/>
    <w:rsid w:val="00C8576D"/>
    <w:rsid w:val="00C8591D"/>
    <w:rsid w:val="00C85E17"/>
    <w:rsid w:val="00C86028"/>
    <w:rsid w:val="00C860D6"/>
    <w:rsid w:val="00C8624E"/>
    <w:rsid w:val="00C8635A"/>
    <w:rsid w:val="00C86379"/>
    <w:rsid w:val="00C86486"/>
    <w:rsid w:val="00C864C3"/>
    <w:rsid w:val="00C864DB"/>
    <w:rsid w:val="00C8659F"/>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4A8"/>
    <w:rsid w:val="00CA36A5"/>
    <w:rsid w:val="00CA3AF1"/>
    <w:rsid w:val="00CA3C48"/>
    <w:rsid w:val="00CA3EE8"/>
    <w:rsid w:val="00CA47C0"/>
    <w:rsid w:val="00CA4954"/>
    <w:rsid w:val="00CA4A3F"/>
    <w:rsid w:val="00CA4C14"/>
    <w:rsid w:val="00CA4FE7"/>
    <w:rsid w:val="00CA507B"/>
    <w:rsid w:val="00CA51A0"/>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68"/>
    <w:rsid w:val="00CB1F2A"/>
    <w:rsid w:val="00CB24ED"/>
    <w:rsid w:val="00CB2836"/>
    <w:rsid w:val="00CB28E4"/>
    <w:rsid w:val="00CB2A2E"/>
    <w:rsid w:val="00CB2D00"/>
    <w:rsid w:val="00CB2F27"/>
    <w:rsid w:val="00CB2FB2"/>
    <w:rsid w:val="00CB3101"/>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EF9"/>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92B"/>
    <w:rsid w:val="00CD49D6"/>
    <w:rsid w:val="00CD4B71"/>
    <w:rsid w:val="00CD4D99"/>
    <w:rsid w:val="00CD4E37"/>
    <w:rsid w:val="00CD4E95"/>
    <w:rsid w:val="00CD4EC5"/>
    <w:rsid w:val="00CD4F04"/>
    <w:rsid w:val="00CD5673"/>
    <w:rsid w:val="00CD574B"/>
    <w:rsid w:val="00CD592F"/>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E4"/>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0CF1"/>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14E"/>
    <w:rsid w:val="00D352C3"/>
    <w:rsid w:val="00D353FF"/>
    <w:rsid w:val="00D358F9"/>
    <w:rsid w:val="00D35C45"/>
    <w:rsid w:val="00D3609F"/>
    <w:rsid w:val="00D3610A"/>
    <w:rsid w:val="00D361C5"/>
    <w:rsid w:val="00D36405"/>
    <w:rsid w:val="00D3646C"/>
    <w:rsid w:val="00D3668C"/>
    <w:rsid w:val="00D369EA"/>
    <w:rsid w:val="00D36AF8"/>
    <w:rsid w:val="00D36BD8"/>
    <w:rsid w:val="00D36C8E"/>
    <w:rsid w:val="00D36CBE"/>
    <w:rsid w:val="00D37994"/>
    <w:rsid w:val="00D37B95"/>
    <w:rsid w:val="00D37C2D"/>
    <w:rsid w:val="00D40409"/>
    <w:rsid w:val="00D404CE"/>
    <w:rsid w:val="00D4053F"/>
    <w:rsid w:val="00D40552"/>
    <w:rsid w:val="00D406D1"/>
    <w:rsid w:val="00D40E25"/>
    <w:rsid w:val="00D40E73"/>
    <w:rsid w:val="00D40E78"/>
    <w:rsid w:val="00D41009"/>
    <w:rsid w:val="00D41492"/>
    <w:rsid w:val="00D41901"/>
    <w:rsid w:val="00D41AC9"/>
    <w:rsid w:val="00D41CD0"/>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501E4"/>
    <w:rsid w:val="00D50424"/>
    <w:rsid w:val="00D5044A"/>
    <w:rsid w:val="00D506A6"/>
    <w:rsid w:val="00D50AF0"/>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3EDF"/>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7BF"/>
    <w:rsid w:val="00D71BC6"/>
    <w:rsid w:val="00D71F98"/>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1B0"/>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DE1"/>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C80"/>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193"/>
    <w:rsid w:val="00D966BA"/>
    <w:rsid w:val="00D9680A"/>
    <w:rsid w:val="00D96821"/>
    <w:rsid w:val="00D96A4F"/>
    <w:rsid w:val="00D96D84"/>
    <w:rsid w:val="00D96DD2"/>
    <w:rsid w:val="00D97552"/>
    <w:rsid w:val="00D9792C"/>
    <w:rsid w:val="00D97BBB"/>
    <w:rsid w:val="00D97DC1"/>
    <w:rsid w:val="00D97E86"/>
    <w:rsid w:val="00DA0085"/>
    <w:rsid w:val="00DA06EF"/>
    <w:rsid w:val="00DA072D"/>
    <w:rsid w:val="00DA0839"/>
    <w:rsid w:val="00DA0C77"/>
    <w:rsid w:val="00DA0FC0"/>
    <w:rsid w:val="00DA10CE"/>
    <w:rsid w:val="00DA12DD"/>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F98"/>
    <w:rsid w:val="00DB22F7"/>
    <w:rsid w:val="00DB232C"/>
    <w:rsid w:val="00DB24CB"/>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3E40"/>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34"/>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1C9"/>
    <w:rsid w:val="00DC65D8"/>
    <w:rsid w:val="00DC6A94"/>
    <w:rsid w:val="00DC6CC7"/>
    <w:rsid w:val="00DC7073"/>
    <w:rsid w:val="00DC722C"/>
    <w:rsid w:val="00DC765F"/>
    <w:rsid w:val="00DC7722"/>
    <w:rsid w:val="00DC7890"/>
    <w:rsid w:val="00DC7BBD"/>
    <w:rsid w:val="00DC7C14"/>
    <w:rsid w:val="00DC7CE1"/>
    <w:rsid w:val="00DC7D92"/>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5CE"/>
    <w:rsid w:val="00DE06B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840"/>
    <w:rsid w:val="00DE3C85"/>
    <w:rsid w:val="00DE3D19"/>
    <w:rsid w:val="00DE3E0E"/>
    <w:rsid w:val="00DE3E7C"/>
    <w:rsid w:val="00DE3F64"/>
    <w:rsid w:val="00DE3FBF"/>
    <w:rsid w:val="00DE4003"/>
    <w:rsid w:val="00DE43E5"/>
    <w:rsid w:val="00DE464E"/>
    <w:rsid w:val="00DE4664"/>
    <w:rsid w:val="00DE469A"/>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BF"/>
    <w:rsid w:val="00E01572"/>
    <w:rsid w:val="00E019EA"/>
    <w:rsid w:val="00E01A53"/>
    <w:rsid w:val="00E01A90"/>
    <w:rsid w:val="00E01B57"/>
    <w:rsid w:val="00E01FCB"/>
    <w:rsid w:val="00E021A3"/>
    <w:rsid w:val="00E021A6"/>
    <w:rsid w:val="00E02263"/>
    <w:rsid w:val="00E023A2"/>
    <w:rsid w:val="00E027E6"/>
    <w:rsid w:val="00E0287E"/>
    <w:rsid w:val="00E028E6"/>
    <w:rsid w:val="00E02C20"/>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DD"/>
    <w:rsid w:val="00E053E5"/>
    <w:rsid w:val="00E055E6"/>
    <w:rsid w:val="00E0571B"/>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CDF"/>
    <w:rsid w:val="00E07E45"/>
    <w:rsid w:val="00E1007C"/>
    <w:rsid w:val="00E102BD"/>
    <w:rsid w:val="00E102F2"/>
    <w:rsid w:val="00E1039D"/>
    <w:rsid w:val="00E103F8"/>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3DE"/>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90E"/>
    <w:rsid w:val="00E26A6F"/>
    <w:rsid w:val="00E26F48"/>
    <w:rsid w:val="00E2701D"/>
    <w:rsid w:val="00E2726A"/>
    <w:rsid w:val="00E272FE"/>
    <w:rsid w:val="00E27830"/>
    <w:rsid w:val="00E27CB8"/>
    <w:rsid w:val="00E301E2"/>
    <w:rsid w:val="00E3020D"/>
    <w:rsid w:val="00E30309"/>
    <w:rsid w:val="00E30517"/>
    <w:rsid w:val="00E3070A"/>
    <w:rsid w:val="00E308B4"/>
    <w:rsid w:val="00E30A72"/>
    <w:rsid w:val="00E30B5C"/>
    <w:rsid w:val="00E30BDE"/>
    <w:rsid w:val="00E30C5F"/>
    <w:rsid w:val="00E30D81"/>
    <w:rsid w:val="00E30F7F"/>
    <w:rsid w:val="00E31371"/>
    <w:rsid w:val="00E31506"/>
    <w:rsid w:val="00E3167A"/>
    <w:rsid w:val="00E317EC"/>
    <w:rsid w:val="00E31C6C"/>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9C6"/>
    <w:rsid w:val="00E33A45"/>
    <w:rsid w:val="00E33A5C"/>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40362"/>
    <w:rsid w:val="00E40CEB"/>
    <w:rsid w:val="00E40DAE"/>
    <w:rsid w:val="00E40F68"/>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BF5"/>
    <w:rsid w:val="00E43F1E"/>
    <w:rsid w:val="00E43FBE"/>
    <w:rsid w:val="00E44077"/>
    <w:rsid w:val="00E44725"/>
    <w:rsid w:val="00E4484D"/>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C64"/>
    <w:rsid w:val="00E53D19"/>
    <w:rsid w:val="00E540E9"/>
    <w:rsid w:val="00E549F7"/>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4A6"/>
    <w:rsid w:val="00E608B7"/>
    <w:rsid w:val="00E60A0C"/>
    <w:rsid w:val="00E60C81"/>
    <w:rsid w:val="00E60D01"/>
    <w:rsid w:val="00E60F80"/>
    <w:rsid w:val="00E61004"/>
    <w:rsid w:val="00E61068"/>
    <w:rsid w:val="00E610CB"/>
    <w:rsid w:val="00E61163"/>
    <w:rsid w:val="00E619AD"/>
    <w:rsid w:val="00E61DAC"/>
    <w:rsid w:val="00E6239A"/>
    <w:rsid w:val="00E624DA"/>
    <w:rsid w:val="00E62856"/>
    <w:rsid w:val="00E629F9"/>
    <w:rsid w:val="00E62AF2"/>
    <w:rsid w:val="00E62D18"/>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BD4"/>
    <w:rsid w:val="00E73E01"/>
    <w:rsid w:val="00E741C0"/>
    <w:rsid w:val="00E74428"/>
    <w:rsid w:val="00E744E0"/>
    <w:rsid w:val="00E7476B"/>
    <w:rsid w:val="00E7478C"/>
    <w:rsid w:val="00E749C0"/>
    <w:rsid w:val="00E74A0E"/>
    <w:rsid w:val="00E74B5A"/>
    <w:rsid w:val="00E74C05"/>
    <w:rsid w:val="00E74DDD"/>
    <w:rsid w:val="00E74DFA"/>
    <w:rsid w:val="00E7524F"/>
    <w:rsid w:val="00E75506"/>
    <w:rsid w:val="00E7556D"/>
    <w:rsid w:val="00E756FB"/>
    <w:rsid w:val="00E7571F"/>
    <w:rsid w:val="00E75727"/>
    <w:rsid w:val="00E757A0"/>
    <w:rsid w:val="00E75858"/>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4BC"/>
    <w:rsid w:val="00E804DC"/>
    <w:rsid w:val="00E80566"/>
    <w:rsid w:val="00E8084E"/>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0E3"/>
    <w:rsid w:val="00E844B6"/>
    <w:rsid w:val="00E84ACD"/>
    <w:rsid w:val="00E84E7D"/>
    <w:rsid w:val="00E8503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565"/>
    <w:rsid w:val="00E879F0"/>
    <w:rsid w:val="00E87AE6"/>
    <w:rsid w:val="00E87DCE"/>
    <w:rsid w:val="00E87E18"/>
    <w:rsid w:val="00E87E8F"/>
    <w:rsid w:val="00E87FA2"/>
    <w:rsid w:val="00E90199"/>
    <w:rsid w:val="00E909FF"/>
    <w:rsid w:val="00E90E43"/>
    <w:rsid w:val="00E90F22"/>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773"/>
    <w:rsid w:val="00EA2E67"/>
    <w:rsid w:val="00EA30AD"/>
    <w:rsid w:val="00EA339A"/>
    <w:rsid w:val="00EA3400"/>
    <w:rsid w:val="00EA3847"/>
    <w:rsid w:val="00EA3D67"/>
    <w:rsid w:val="00EA3D94"/>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4FF"/>
    <w:rsid w:val="00EB35D4"/>
    <w:rsid w:val="00EB3953"/>
    <w:rsid w:val="00EB3A23"/>
    <w:rsid w:val="00EB3AB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23DC"/>
    <w:rsid w:val="00EC243C"/>
    <w:rsid w:val="00EC283D"/>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72"/>
    <w:rsid w:val="00EC7183"/>
    <w:rsid w:val="00EC71A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122"/>
    <w:rsid w:val="00ED5152"/>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E55"/>
    <w:rsid w:val="00EE0F6F"/>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6B40"/>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1E8"/>
    <w:rsid w:val="00EF2786"/>
    <w:rsid w:val="00EF2C3D"/>
    <w:rsid w:val="00EF2E86"/>
    <w:rsid w:val="00EF2F47"/>
    <w:rsid w:val="00EF3326"/>
    <w:rsid w:val="00EF3362"/>
    <w:rsid w:val="00EF34CD"/>
    <w:rsid w:val="00EF35D6"/>
    <w:rsid w:val="00EF3904"/>
    <w:rsid w:val="00EF3A28"/>
    <w:rsid w:val="00EF3A3D"/>
    <w:rsid w:val="00EF3A4A"/>
    <w:rsid w:val="00EF3B37"/>
    <w:rsid w:val="00EF3BCA"/>
    <w:rsid w:val="00EF3D43"/>
    <w:rsid w:val="00EF3EF2"/>
    <w:rsid w:val="00EF408D"/>
    <w:rsid w:val="00EF4358"/>
    <w:rsid w:val="00EF447D"/>
    <w:rsid w:val="00EF459C"/>
    <w:rsid w:val="00EF493B"/>
    <w:rsid w:val="00EF4944"/>
    <w:rsid w:val="00EF4F32"/>
    <w:rsid w:val="00EF4FF2"/>
    <w:rsid w:val="00EF5326"/>
    <w:rsid w:val="00EF544E"/>
    <w:rsid w:val="00EF54CB"/>
    <w:rsid w:val="00EF55D7"/>
    <w:rsid w:val="00EF5846"/>
    <w:rsid w:val="00EF5861"/>
    <w:rsid w:val="00EF5CAA"/>
    <w:rsid w:val="00EF5F0E"/>
    <w:rsid w:val="00EF5FA2"/>
    <w:rsid w:val="00EF6141"/>
    <w:rsid w:val="00EF61E1"/>
    <w:rsid w:val="00EF6295"/>
    <w:rsid w:val="00EF63B9"/>
    <w:rsid w:val="00EF63E3"/>
    <w:rsid w:val="00EF6513"/>
    <w:rsid w:val="00EF65CE"/>
    <w:rsid w:val="00EF6645"/>
    <w:rsid w:val="00EF6929"/>
    <w:rsid w:val="00EF6A07"/>
    <w:rsid w:val="00EF6C31"/>
    <w:rsid w:val="00EF6E38"/>
    <w:rsid w:val="00EF6EF5"/>
    <w:rsid w:val="00EF71E3"/>
    <w:rsid w:val="00EF7614"/>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4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FB1"/>
    <w:rsid w:val="00F1123F"/>
    <w:rsid w:val="00F11451"/>
    <w:rsid w:val="00F11644"/>
    <w:rsid w:val="00F1165E"/>
    <w:rsid w:val="00F11A76"/>
    <w:rsid w:val="00F11A80"/>
    <w:rsid w:val="00F11C61"/>
    <w:rsid w:val="00F11CF5"/>
    <w:rsid w:val="00F11F40"/>
    <w:rsid w:val="00F1205E"/>
    <w:rsid w:val="00F123DC"/>
    <w:rsid w:val="00F124CB"/>
    <w:rsid w:val="00F12988"/>
    <w:rsid w:val="00F12B3D"/>
    <w:rsid w:val="00F12C7C"/>
    <w:rsid w:val="00F12D63"/>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F41"/>
    <w:rsid w:val="00F170FA"/>
    <w:rsid w:val="00F171BB"/>
    <w:rsid w:val="00F179DB"/>
    <w:rsid w:val="00F17A8F"/>
    <w:rsid w:val="00F20046"/>
    <w:rsid w:val="00F200E3"/>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A1"/>
    <w:rsid w:val="00F439C5"/>
    <w:rsid w:val="00F43A17"/>
    <w:rsid w:val="00F43B82"/>
    <w:rsid w:val="00F43E0D"/>
    <w:rsid w:val="00F4400E"/>
    <w:rsid w:val="00F44529"/>
    <w:rsid w:val="00F446E1"/>
    <w:rsid w:val="00F4477A"/>
    <w:rsid w:val="00F44833"/>
    <w:rsid w:val="00F44BAE"/>
    <w:rsid w:val="00F44E4E"/>
    <w:rsid w:val="00F44E57"/>
    <w:rsid w:val="00F4553A"/>
    <w:rsid w:val="00F45580"/>
    <w:rsid w:val="00F45693"/>
    <w:rsid w:val="00F4572D"/>
    <w:rsid w:val="00F461A0"/>
    <w:rsid w:val="00F461B3"/>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36F"/>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21F"/>
    <w:rsid w:val="00F513BA"/>
    <w:rsid w:val="00F51447"/>
    <w:rsid w:val="00F514EF"/>
    <w:rsid w:val="00F515F5"/>
    <w:rsid w:val="00F516F4"/>
    <w:rsid w:val="00F51A5F"/>
    <w:rsid w:val="00F51AD6"/>
    <w:rsid w:val="00F51B36"/>
    <w:rsid w:val="00F51F44"/>
    <w:rsid w:val="00F5231A"/>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516"/>
    <w:rsid w:val="00F545A6"/>
    <w:rsid w:val="00F546E7"/>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D81"/>
    <w:rsid w:val="00F64E5A"/>
    <w:rsid w:val="00F64F9F"/>
    <w:rsid w:val="00F650ED"/>
    <w:rsid w:val="00F654FA"/>
    <w:rsid w:val="00F65506"/>
    <w:rsid w:val="00F65519"/>
    <w:rsid w:val="00F656BB"/>
    <w:rsid w:val="00F65D14"/>
    <w:rsid w:val="00F660B8"/>
    <w:rsid w:val="00F66192"/>
    <w:rsid w:val="00F6623D"/>
    <w:rsid w:val="00F66330"/>
    <w:rsid w:val="00F667E7"/>
    <w:rsid w:val="00F669E3"/>
    <w:rsid w:val="00F66A84"/>
    <w:rsid w:val="00F66ABC"/>
    <w:rsid w:val="00F6702B"/>
    <w:rsid w:val="00F6776B"/>
    <w:rsid w:val="00F67828"/>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8F"/>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46"/>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F1"/>
    <w:rsid w:val="00F82F1A"/>
    <w:rsid w:val="00F83301"/>
    <w:rsid w:val="00F836E7"/>
    <w:rsid w:val="00F837A7"/>
    <w:rsid w:val="00F837DD"/>
    <w:rsid w:val="00F83AC2"/>
    <w:rsid w:val="00F83F53"/>
    <w:rsid w:val="00F8428D"/>
    <w:rsid w:val="00F8463C"/>
    <w:rsid w:val="00F84849"/>
    <w:rsid w:val="00F849D7"/>
    <w:rsid w:val="00F84A2F"/>
    <w:rsid w:val="00F84BAB"/>
    <w:rsid w:val="00F84E45"/>
    <w:rsid w:val="00F85077"/>
    <w:rsid w:val="00F850EB"/>
    <w:rsid w:val="00F85184"/>
    <w:rsid w:val="00F852D4"/>
    <w:rsid w:val="00F85406"/>
    <w:rsid w:val="00F855CB"/>
    <w:rsid w:val="00F8564A"/>
    <w:rsid w:val="00F856C8"/>
    <w:rsid w:val="00F85744"/>
    <w:rsid w:val="00F8587A"/>
    <w:rsid w:val="00F85909"/>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768"/>
    <w:rsid w:val="00FA396E"/>
    <w:rsid w:val="00FA3C84"/>
    <w:rsid w:val="00FA3D3B"/>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77C"/>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72"/>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7D9"/>
    <w:rsid w:val="00FB3CD6"/>
    <w:rsid w:val="00FB3F1F"/>
    <w:rsid w:val="00FB4065"/>
    <w:rsid w:val="00FB4331"/>
    <w:rsid w:val="00FB4737"/>
    <w:rsid w:val="00FB4760"/>
    <w:rsid w:val="00FB47B5"/>
    <w:rsid w:val="00FB483F"/>
    <w:rsid w:val="00FB4AA2"/>
    <w:rsid w:val="00FB4CA8"/>
    <w:rsid w:val="00FB5032"/>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55"/>
    <w:rsid w:val="00FC5EA2"/>
    <w:rsid w:val="00FC61CA"/>
    <w:rsid w:val="00FC645D"/>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5C3"/>
    <w:rsid w:val="00FD0630"/>
    <w:rsid w:val="00FD0678"/>
    <w:rsid w:val="00FD0981"/>
    <w:rsid w:val="00FD0EC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BA9"/>
    <w:rsid w:val="00FD2C10"/>
    <w:rsid w:val="00FD2CAA"/>
    <w:rsid w:val="00FD2D7C"/>
    <w:rsid w:val="00FD30CE"/>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4263"/>
    <w:rsid w:val="00FE455B"/>
    <w:rsid w:val="00FE4913"/>
    <w:rsid w:val="00FE4B08"/>
    <w:rsid w:val="00FE4B37"/>
    <w:rsid w:val="00FE4B7F"/>
    <w:rsid w:val="00FE4E09"/>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39B"/>
    <w:rsid w:val="00FF25D3"/>
    <w:rsid w:val="00FF2638"/>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339"/>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289474A5"/>
  <w15:chartTrackingRefBased/>
  <w15:docId w15:val="{D67777E9-3828-4102-9D6F-927C2038B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paragraph" w:customStyle="1" w:styleId="b110">
    <w:name w:val="b110"/>
    <w:basedOn w:val="Normal"/>
    <w:rsid w:val="005A18CB"/>
    <w:pPr>
      <w:overflowPunct/>
      <w:autoSpaceDE/>
      <w:autoSpaceDN/>
      <w:adjustRightInd/>
      <w:spacing w:before="75" w:after="75"/>
      <w:textAlignment w:val="auto"/>
    </w:pPr>
    <w:rPr>
      <w:rFonts w:eastAsia="Times New Roman"/>
      <w:sz w:val="24"/>
      <w:szCs w:val="24"/>
      <w:lang w:eastAsia="zh-CN"/>
    </w:rPr>
  </w:style>
  <w:style w:type="character" w:styleId="UnresolvedMention">
    <w:name w:val="Unresolved Mention"/>
    <w:basedOn w:val="DefaultParagraphFont"/>
    <w:uiPriority w:val="99"/>
    <w:unhideWhenUsed/>
    <w:rsid w:val="009959B6"/>
    <w:rPr>
      <w:color w:val="605E5C"/>
      <w:shd w:val="clear" w:color="auto" w:fill="E1DFDD"/>
    </w:rPr>
  </w:style>
  <w:style w:type="character" w:styleId="Mention">
    <w:name w:val="Mention"/>
    <w:basedOn w:val="DefaultParagraphFont"/>
    <w:uiPriority w:val="99"/>
    <w:unhideWhenUsed/>
    <w:rsid w:val="009959B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071815">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cfa6e706-8601-4650-be9b-147c2ee1b24b">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6b7e6538ee94321b7a24d0358e4fb98">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9bff3c1a3d5aca25f4c35744ba91f7b3"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purl.org/dc/elements/1.1/"/>
    <ds:schemaRef ds:uri="http://schemas.microsoft.com/office/2006/metadata/properties"/>
    <ds:schemaRef ds:uri="http://purl.org/dc/terms/"/>
    <ds:schemaRef ds:uri="http://schemas.openxmlformats.org/package/2006/metadata/core-properties"/>
    <ds:schemaRef ds:uri="afff7df5-a137-4180-a445-635b252ac6e7"/>
    <ds:schemaRef ds:uri="http://schemas.microsoft.com/office/2006/documentManagement/types"/>
    <ds:schemaRef ds:uri="http://schemas.microsoft.com/office/infopath/2007/PartnerControls"/>
    <ds:schemaRef ds:uri="cfa6e706-8601-4650-be9b-147c2ee1b24b"/>
    <ds:schemaRef ds:uri="http://www.w3.org/XML/1998/namespace"/>
    <ds:schemaRef ds:uri="http://purl.org/dc/dcmitype/"/>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0778B393-0628-4DF9-AD6A-BE25565D1203}">
  <ds:schemaRefs>
    <ds:schemaRef ds:uri="http://schemas.openxmlformats.org/officeDocument/2006/bibliography"/>
  </ds:schemaRefs>
</ds:datastoreItem>
</file>

<file path=customXml/itemProps4.xml><?xml version="1.0" encoding="utf-8"?>
<ds:datastoreItem xmlns:ds="http://schemas.openxmlformats.org/officeDocument/2006/customXml" ds:itemID="{B153BC15-3A59-4E46-BDBE-8BA8E0D9E1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5FEBFB-69D4-4730-B776-D2A4D4C06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3193</Words>
  <Characters>18203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21354</CharactersWithSpaces>
  <SharedDoc>false</SharedDoc>
  <HLinks>
    <vt:vector size="24" baseType="variant">
      <vt:variant>
        <vt:i4>6357020</vt:i4>
      </vt:variant>
      <vt:variant>
        <vt:i4>9</vt:i4>
      </vt:variant>
      <vt:variant>
        <vt:i4>0</vt:i4>
      </vt:variant>
      <vt:variant>
        <vt:i4>5</vt:i4>
      </vt:variant>
      <vt:variant>
        <vt:lpwstr>mailto:prerana.rane@intel.com</vt:lpwstr>
      </vt:variant>
      <vt:variant>
        <vt:lpwstr/>
      </vt:variant>
      <vt:variant>
        <vt:i4>5505075</vt:i4>
      </vt:variant>
      <vt:variant>
        <vt:i4>6</vt:i4>
      </vt:variant>
      <vt:variant>
        <vt:i4>0</vt:i4>
      </vt:variant>
      <vt:variant>
        <vt:i4>5</vt:i4>
      </vt:variant>
      <vt:variant>
        <vt:lpwstr>mailto:dmitry.dikarev@intel.com</vt:lpwstr>
      </vt:variant>
      <vt:variant>
        <vt:lpwstr/>
      </vt:variant>
      <vt:variant>
        <vt:i4>6357020</vt:i4>
      </vt:variant>
      <vt:variant>
        <vt:i4>3</vt:i4>
      </vt:variant>
      <vt:variant>
        <vt:i4>0</vt:i4>
      </vt:variant>
      <vt:variant>
        <vt:i4>5</vt:i4>
      </vt:variant>
      <vt:variant>
        <vt:lpwstr>mailto:prerana.rane@intel.com</vt:lpwstr>
      </vt:variant>
      <vt:variant>
        <vt:lpwstr/>
      </vt:variant>
      <vt:variant>
        <vt:i4>5505075</vt:i4>
      </vt:variant>
      <vt:variant>
        <vt:i4>0</vt:i4>
      </vt:variant>
      <vt:variant>
        <vt:i4>0</vt:i4>
      </vt:variant>
      <vt:variant>
        <vt:i4>5</vt:i4>
      </vt:variant>
      <vt:variant>
        <vt:lpwstr>mailto:dmitry.dikarev@intel.com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cp:revision>
  <cp:lastPrinted>2011-11-11T13:49:00Z</cp:lastPrinted>
  <dcterms:created xsi:type="dcterms:W3CDTF">2021-01-19T06:21:00Z</dcterms:created>
  <dcterms:modified xsi:type="dcterms:W3CDTF">2021-01-19T06:21:00Z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0x010100D53657DB3CA89C42BAF60DC4AEE10EDE</vt:lpwstr>
  </property>
  <property fmtid="{D5CDD505-2E9C-101B-9397-08002B2CF9AE}" pid="10" name="CTP_BU">
    <vt:lpwstr>NA</vt:lpwstr>
  </property>
  <property fmtid="{D5CDD505-2E9C-101B-9397-08002B2CF9AE}" pid="11" name="CTPClassification">
    <vt:lpwstr>CTP_NT</vt:lpwstr>
  </property>
</Properties>
</file>